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7BF" w:rsidRDefault="005A67BF" w:rsidP="00050A3B">
      <w:pPr>
        <w:ind w:firstLine="0"/>
        <w:rPr>
          <w:rFonts w:eastAsiaTheme="minorHAnsi"/>
          <w:b/>
          <w:bCs/>
          <w:i/>
          <w:iCs/>
          <w:color w:val="404040" w:themeColor="text1" w:themeTint="BF"/>
          <w:szCs w:val="28"/>
          <w:lang w:eastAsia="en-US"/>
        </w:rPr>
      </w:pPr>
    </w:p>
    <w:p w:rsidR="005A67BF" w:rsidRPr="00F9132E" w:rsidRDefault="005A67BF" w:rsidP="005A67BF">
      <w:pPr>
        <w:spacing w:before="200" w:after="160" w:line="259" w:lineRule="auto"/>
        <w:ind w:left="864" w:right="864"/>
        <w:jc w:val="center"/>
        <w:rPr>
          <w:rFonts w:eastAsia="Calibri"/>
          <w:b/>
          <w:bCs/>
          <w:i/>
          <w:iCs/>
          <w:color w:val="404040"/>
          <w:szCs w:val="28"/>
          <w:lang w:eastAsia="en-US"/>
        </w:rPr>
      </w:pPr>
      <w:r w:rsidRPr="00F9132E">
        <w:rPr>
          <w:rFonts w:eastAsia="Calibri"/>
          <w:b/>
          <w:bCs/>
          <w:i/>
          <w:iCs/>
          <w:color w:val="404040"/>
          <w:szCs w:val="28"/>
          <w:lang w:eastAsia="en-US"/>
        </w:rPr>
        <w:t>République Algérienne Démocratique et Populaire</w:t>
      </w:r>
      <w:r w:rsidRPr="00F9132E">
        <w:rPr>
          <w:rFonts w:eastAsia="Calibri" w:cs="Arial"/>
          <w:i/>
          <w:iCs/>
          <w:color w:val="404040"/>
          <w:lang w:eastAsia="en-US"/>
        </w:rPr>
        <w:t xml:space="preserve">                           </w:t>
      </w:r>
      <w:r w:rsidRPr="00F9132E">
        <w:rPr>
          <w:rFonts w:eastAsia="Calibri"/>
          <w:b/>
          <w:bCs/>
          <w:i/>
          <w:iCs/>
          <w:color w:val="404040"/>
          <w:szCs w:val="28"/>
          <w:lang w:eastAsia="en-US"/>
        </w:rPr>
        <w:t>Ministère de l’enseignement supérieur et de la recherche scientifique</w:t>
      </w:r>
    </w:p>
    <w:p w:rsidR="005A67BF" w:rsidRPr="00F9132E" w:rsidRDefault="005A67BF" w:rsidP="005A67BF">
      <w:pPr>
        <w:spacing w:after="160" w:line="259" w:lineRule="auto"/>
        <w:jc w:val="center"/>
        <w:rPr>
          <w:rFonts w:eastAsia="Calibri" w:cs="Arial"/>
          <w:i/>
          <w:iCs/>
          <w:lang w:eastAsia="en-US"/>
        </w:rPr>
      </w:pPr>
      <w:r w:rsidRPr="00F9132E">
        <w:rPr>
          <w:rFonts w:eastAsia="Calibri"/>
          <w:b/>
          <w:bCs/>
          <w:i/>
          <w:iCs/>
          <w:color w:val="404040"/>
          <w:szCs w:val="28"/>
          <w:lang w:eastAsia="en-US"/>
        </w:rPr>
        <w:t>Centre Universitaire Abdelhafid Boussouf-Mila</w:t>
      </w:r>
    </w:p>
    <w:p w:rsidR="005A67BF" w:rsidRPr="00F9132E" w:rsidRDefault="005A67BF" w:rsidP="005A67BF">
      <w:pPr>
        <w:spacing w:before="200" w:after="160" w:line="259" w:lineRule="auto"/>
        <w:ind w:right="864"/>
        <w:rPr>
          <w:rFonts w:eastAsia="Calibri"/>
          <w:b/>
          <w:bCs/>
          <w:i/>
          <w:iCs/>
          <w:color w:val="404040"/>
          <w:szCs w:val="28"/>
          <w:u w:val="single"/>
          <w:lang w:eastAsia="en-US"/>
        </w:rPr>
      </w:pPr>
    </w:p>
    <w:p w:rsidR="005A67BF" w:rsidRPr="00F9132E" w:rsidRDefault="005A67BF" w:rsidP="005A67BF">
      <w:pPr>
        <w:spacing w:before="200" w:after="160" w:line="259" w:lineRule="auto"/>
        <w:ind w:left="864" w:right="864"/>
        <w:jc w:val="center"/>
        <w:rPr>
          <w:rFonts w:eastAsia="Calibri"/>
          <w:b/>
          <w:bCs/>
          <w:i/>
          <w:iCs/>
          <w:color w:val="404040"/>
          <w:szCs w:val="28"/>
          <w:lang w:eastAsia="en-US"/>
        </w:rPr>
      </w:pPr>
      <w:r w:rsidRPr="00F9132E">
        <w:rPr>
          <w:rFonts w:eastAsia="Calibri"/>
          <w:b/>
          <w:bCs/>
          <w:i/>
          <w:iCs/>
          <w:color w:val="404040"/>
          <w:szCs w:val="28"/>
          <w:lang w:eastAsia="en-US"/>
        </w:rPr>
        <w:t>Institut des lettres et des langues étrangères</w:t>
      </w:r>
    </w:p>
    <w:p w:rsidR="005A67BF" w:rsidRPr="00F9132E" w:rsidRDefault="005A67BF" w:rsidP="005A67BF">
      <w:pPr>
        <w:spacing w:before="200" w:after="160" w:line="259" w:lineRule="auto"/>
        <w:ind w:left="864" w:right="864"/>
        <w:jc w:val="center"/>
        <w:rPr>
          <w:rFonts w:eastAsia="Calibri"/>
          <w:b/>
          <w:bCs/>
          <w:i/>
          <w:iCs/>
          <w:color w:val="404040"/>
          <w:szCs w:val="28"/>
          <w:lang w:eastAsia="en-US"/>
        </w:rPr>
      </w:pPr>
      <w:r w:rsidRPr="00F9132E">
        <w:rPr>
          <w:rFonts w:eastAsia="Calibri"/>
          <w:b/>
          <w:bCs/>
          <w:i/>
          <w:iCs/>
          <w:color w:val="404040"/>
          <w:szCs w:val="28"/>
          <w:lang w:eastAsia="en-US"/>
        </w:rPr>
        <w:t>Département de français</w:t>
      </w:r>
    </w:p>
    <w:p w:rsidR="005A67BF" w:rsidRPr="00F9132E" w:rsidRDefault="005A67BF" w:rsidP="005A67BF">
      <w:pPr>
        <w:spacing w:before="200" w:after="160" w:line="259" w:lineRule="auto"/>
        <w:ind w:right="864"/>
        <w:rPr>
          <w:rFonts w:eastAsia="Calibri"/>
          <w:b/>
          <w:bCs/>
          <w:i/>
          <w:iCs/>
          <w:color w:val="404040"/>
          <w:szCs w:val="28"/>
          <w:u w:val="single"/>
          <w:lang w:eastAsia="en-US"/>
        </w:rPr>
      </w:pPr>
    </w:p>
    <w:p w:rsidR="005A67BF" w:rsidRDefault="005A67BF" w:rsidP="005A67BF">
      <w:pPr>
        <w:spacing w:before="200" w:after="160" w:line="259" w:lineRule="auto"/>
        <w:ind w:right="864"/>
        <w:rPr>
          <w:rFonts w:eastAsia="Calibri"/>
          <w:b/>
          <w:bCs/>
          <w:i/>
          <w:iCs/>
          <w:color w:val="404040"/>
          <w:szCs w:val="28"/>
          <w:u w:val="single"/>
          <w:lang w:eastAsia="en-US"/>
        </w:rPr>
      </w:pPr>
    </w:p>
    <w:p w:rsidR="00050A3B" w:rsidRDefault="00050A3B" w:rsidP="00050A3B">
      <w:pPr>
        <w:tabs>
          <w:tab w:val="left" w:pos="1332"/>
        </w:tabs>
        <w:spacing w:before="200" w:after="160" w:line="259" w:lineRule="auto"/>
        <w:ind w:right="864"/>
        <w:rPr>
          <w:rFonts w:eastAsia="Calibri"/>
          <w:b/>
          <w:bCs/>
          <w:i/>
          <w:iCs/>
          <w:color w:val="404040"/>
          <w:szCs w:val="28"/>
          <w:u w:val="single"/>
          <w:lang w:eastAsia="en-US"/>
        </w:rPr>
      </w:pPr>
    </w:p>
    <w:p w:rsidR="00050A3B" w:rsidRPr="00F9132E" w:rsidRDefault="00050A3B" w:rsidP="00050A3B">
      <w:pPr>
        <w:tabs>
          <w:tab w:val="left" w:pos="2052"/>
        </w:tabs>
        <w:spacing w:before="200" w:after="160" w:line="259" w:lineRule="auto"/>
        <w:ind w:right="864"/>
        <w:rPr>
          <w:rFonts w:eastAsia="Calibri"/>
          <w:b/>
          <w:bCs/>
          <w:i/>
          <w:iCs/>
          <w:color w:val="404040"/>
          <w:szCs w:val="28"/>
          <w:u w:val="single"/>
          <w:lang w:eastAsia="en-US"/>
        </w:rPr>
      </w:pPr>
    </w:p>
    <w:p w:rsidR="005A67BF" w:rsidRPr="00F9132E" w:rsidRDefault="005A67BF" w:rsidP="005A67BF">
      <w:pPr>
        <w:spacing w:after="160" w:line="259" w:lineRule="auto"/>
        <w:rPr>
          <w:rFonts w:eastAsia="Calibri" w:cs="Arial"/>
          <w:szCs w:val="28"/>
          <w:lang w:eastAsia="en-US"/>
        </w:rPr>
      </w:pPr>
    </w:p>
    <w:p w:rsidR="005A67BF" w:rsidRPr="00F9132E" w:rsidRDefault="005A67BF" w:rsidP="005A67BF">
      <w:pPr>
        <w:autoSpaceDE w:val="0"/>
        <w:autoSpaceDN w:val="0"/>
        <w:adjustRightInd w:val="0"/>
        <w:spacing w:after="0" w:line="60" w:lineRule="atLeast"/>
        <w:rPr>
          <w:rFonts w:eastAsia="ArialMT"/>
          <w:b/>
          <w:bCs/>
          <w:szCs w:val="28"/>
          <w:lang w:eastAsia="en-US"/>
        </w:rPr>
      </w:pPr>
      <w:r w:rsidRPr="00F9132E">
        <w:rPr>
          <w:rFonts w:eastAsia="ArialMT"/>
          <w:b/>
          <w:bCs/>
          <w:szCs w:val="28"/>
          <w:lang w:eastAsia="en-US"/>
        </w:rPr>
        <w:t>Niveau : L 1 / F</w:t>
      </w:r>
      <w:r w:rsidRPr="00F9132E">
        <w:rPr>
          <w:rFonts w:eastAsia="ArialMT"/>
          <w:szCs w:val="28"/>
          <w:lang w:eastAsia="en-US"/>
        </w:rPr>
        <w:t>rançais</w:t>
      </w:r>
    </w:p>
    <w:p w:rsidR="005A67BF" w:rsidRPr="00F9132E" w:rsidRDefault="005A67BF" w:rsidP="005A67BF">
      <w:pPr>
        <w:autoSpaceDE w:val="0"/>
        <w:autoSpaceDN w:val="0"/>
        <w:adjustRightInd w:val="0"/>
        <w:spacing w:after="0" w:line="60" w:lineRule="atLeast"/>
        <w:rPr>
          <w:rFonts w:eastAsia="ArialMT"/>
          <w:b/>
          <w:bCs/>
          <w:szCs w:val="28"/>
          <w:lang w:eastAsia="en-US"/>
        </w:rPr>
      </w:pPr>
      <w:r w:rsidRPr="00F9132E">
        <w:rPr>
          <w:rFonts w:eastAsia="ArialMT"/>
          <w:b/>
          <w:bCs/>
          <w:szCs w:val="28"/>
          <w:lang w:eastAsia="en-US"/>
        </w:rPr>
        <w:t>Module : S</w:t>
      </w:r>
      <w:r w:rsidRPr="00F9132E">
        <w:rPr>
          <w:rFonts w:eastAsia="ArialMT"/>
          <w:szCs w:val="28"/>
          <w:lang w:eastAsia="en-US"/>
        </w:rPr>
        <w:t xml:space="preserve">ciences </w:t>
      </w:r>
      <w:r>
        <w:rPr>
          <w:rFonts w:eastAsia="ArialMT"/>
          <w:b/>
          <w:bCs/>
          <w:szCs w:val="28"/>
          <w:lang w:eastAsia="en-US"/>
        </w:rPr>
        <w:t>H</w:t>
      </w:r>
      <w:r w:rsidRPr="00F9132E">
        <w:rPr>
          <w:rFonts w:eastAsia="ArialMT"/>
          <w:szCs w:val="28"/>
          <w:lang w:eastAsia="en-US"/>
        </w:rPr>
        <w:t>umaines</w:t>
      </w:r>
      <w:r>
        <w:rPr>
          <w:rFonts w:eastAsia="ArialMT"/>
          <w:szCs w:val="28"/>
          <w:lang w:eastAsia="en-US"/>
        </w:rPr>
        <w:t xml:space="preserve"> et </w:t>
      </w:r>
      <w:r>
        <w:rPr>
          <w:rFonts w:eastAsia="ArialMT"/>
          <w:b/>
          <w:bCs/>
          <w:szCs w:val="28"/>
          <w:lang w:eastAsia="en-US"/>
        </w:rPr>
        <w:t>S</w:t>
      </w:r>
      <w:r>
        <w:rPr>
          <w:rFonts w:eastAsia="ArialMT"/>
          <w:szCs w:val="28"/>
          <w:lang w:eastAsia="en-US"/>
        </w:rPr>
        <w:t xml:space="preserve">ociales </w:t>
      </w:r>
    </w:p>
    <w:p w:rsidR="005A67BF" w:rsidRPr="00F9132E" w:rsidRDefault="005A67BF" w:rsidP="005A67BF">
      <w:pPr>
        <w:spacing w:after="160" w:line="259" w:lineRule="auto"/>
        <w:rPr>
          <w:rFonts w:eastAsia="Calibri" w:cs="Arial"/>
          <w:b/>
          <w:bCs/>
          <w:szCs w:val="28"/>
          <w:lang w:eastAsia="en-US"/>
        </w:rPr>
      </w:pPr>
      <w:r w:rsidRPr="00F9132E">
        <w:rPr>
          <w:rFonts w:eastAsia="Calibri"/>
          <w:b/>
          <w:bCs/>
          <w:szCs w:val="28"/>
          <w:lang w:eastAsia="en-US"/>
        </w:rPr>
        <w:t>Semestre</w:t>
      </w:r>
      <w:r w:rsidRPr="00F9132E">
        <w:rPr>
          <w:rFonts w:eastAsia="Calibri" w:cs="Arial"/>
          <w:b/>
          <w:bCs/>
          <w:szCs w:val="28"/>
          <w:lang w:eastAsia="en-US"/>
        </w:rPr>
        <w:t xml:space="preserve"> : </w:t>
      </w:r>
      <w:r>
        <w:rPr>
          <w:rFonts w:eastAsia="Calibri" w:cs="Arial"/>
          <w:b/>
          <w:bCs/>
          <w:szCs w:val="28"/>
          <w:lang w:eastAsia="en-US"/>
        </w:rPr>
        <w:t>II</w:t>
      </w:r>
    </w:p>
    <w:p w:rsidR="005A67BF" w:rsidRPr="00F9132E" w:rsidRDefault="005A67BF" w:rsidP="005A67BF">
      <w:pPr>
        <w:spacing w:after="160" w:line="259" w:lineRule="auto"/>
        <w:rPr>
          <w:rFonts w:eastAsia="Calibri" w:cs="Arial"/>
          <w:szCs w:val="28"/>
          <w:lang w:eastAsia="en-US"/>
        </w:rPr>
      </w:pPr>
    </w:p>
    <w:p w:rsidR="005A67BF" w:rsidRPr="00F9132E" w:rsidRDefault="005A67BF" w:rsidP="005A67BF">
      <w:pPr>
        <w:spacing w:after="160" w:line="259" w:lineRule="auto"/>
        <w:rPr>
          <w:rFonts w:eastAsia="Calibri" w:cs="Arial"/>
          <w:szCs w:val="28"/>
          <w:lang w:eastAsia="en-US"/>
        </w:rPr>
      </w:pPr>
    </w:p>
    <w:p w:rsidR="005A67BF" w:rsidRPr="00F9132E" w:rsidRDefault="005A67BF" w:rsidP="005A67BF">
      <w:pPr>
        <w:spacing w:after="317" w:line="259" w:lineRule="auto"/>
        <w:ind w:left="567"/>
        <w:rPr>
          <w:b/>
          <w:sz w:val="32"/>
        </w:rPr>
      </w:pPr>
      <w:r w:rsidRPr="00F9132E">
        <w:rPr>
          <w:rFonts w:eastAsia="Calibri" w:cs="Arial"/>
          <w:noProof/>
          <w:szCs w:val="28"/>
        </w:rPr>
        <mc:AlternateContent>
          <mc:Choice Requires="wps">
            <w:drawing>
              <wp:anchor distT="0" distB="0" distL="114300" distR="114300" simplePos="0" relativeHeight="251659264" behindDoc="0" locked="0" layoutInCell="1" allowOverlap="1" wp14:anchorId="05E5EF57" wp14:editId="611BA37C">
                <wp:simplePos x="0" y="0"/>
                <wp:positionH relativeFrom="margin">
                  <wp:posOffset>1042670</wp:posOffset>
                </wp:positionH>
                <wp:positionV relativeFrom="paragraph">
                  <wp:posOffset>250190</wp:posOffset>
                </wp:positionV>
                <wp:extent cx="3924300" cy="541020"/>
                <wp:effectExtent l="0" t="0" r="38100" b="4953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4300" cy="54102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5A67BF" w:rsidRPr="00050A3B" w:rsidRDefault="00050A3B" w:rsidP="000D6E2A">
                            <w:pPr>
                              <w:spacing w:after="317" w:line="259" w:lineRule="auto"/>
                              <w:jc w:val="center"/>
                              <w:rPr>
                                <w:sz w:val="32"/>
                                <w:szCs w:val="32"/>
                              </w:rPr>
                            </w:pPr>
                            <w:r w:rsidRPr="00050A3B">
                              <w:rPr>
                                <w:b/>
                                <w:bCs/>
                                <w:sz w:val="32"/>
                                <w:szCs w:val="32"/>
                              </w:rPr>
                              <w:t>Cours N°</w:t>
                            </w:r>
                            <w:r w:rsidR="000D6E2A">
                              <w:rPr>
                                <w:b/>
                                <w:bCs/>
                                <w:sz w:val="32"/>
                                <w:szCs w:val="32"/>
                              </w:rPr>
                              <w:t>9</w:t>
                            </w:r>
                            <w:bookmarkStart w:id="0" w:name="_GoBack"/>
                            <w:bookmarkEnd w:id="0"/>
                            <w:r w:rsidR="005A4AD4">
                              <w:rPr>
                                <w:b/>
                                <w:bCs/>
                                <w:sz w:val="32"/>
                                <w:szCs w:val="32"/>
                              </w:rPr>
                              <w:t xml:space="preserve"> </w:t>
                            </w:r>
                            <w:r w:rsidR="005A67BF" w:rsidRPr="00050A3B">
                              <w:rPr>
                                <w:b/>
                                <w:bCs/>
                                <w:sz w:val="32"/>
                                <w:szCs w:val="32"/>
                              </w:rPr>
                              <w:t>:</w:t>
                            </w:r>
                            <w:r w:rsidR="005A4AD4">
                              <w:rPr>
                                <w:b/>
                                <w:bCs/>
                                <w:sz w:val="32"/>
                                <w:szCs w:val="32"/>
                              </w:rPr>
                              <w:t xml:space="preserve"> Les</w:t>
                            </w:r>
                            <w:r w:rsidR="005A67BF" w:rsidRPr="00050A3B">
                              <w:rPr>
                                <w:b/>
                                <w:bCs/>
                                <w:sz w:val="32"/>
                                <w:szCs w:val="32"/>
                              </w:rPr>
                              <w:t xml:space="preserve"> </w:t>
                            </w:r>
                            <w:r w:rsidRPr="00050A3B">
                              <w:rPr>
                                <w:b/>
                                <w:bCs/>
                                <w:sz w:val="32"/>
                                <w:szCs w:val="32"/>
                              </w:rPr>
                              <w:t>Sciences de l'éducation</w:t>
                            </w:r>
                          </w:p>
                          <w:p w:rsidR="005A67BF" w:rsidRPr="00F9132E" w:rsidRDefault="005A67BF" w:rsidP="00050A3B">
                            <w:pPr>
                              <w:autoSpaceDE w:val="0"/>
                              <w:autoSpaceDN w:val="0"/>
                              <w:adjustRightInd w:val="0"/>
                              <w:spacing w:before="240" w:after="0" w:line="360" w:lineRule="auto"/>
                              <w:jc w:val="center"/>
                              <w:rPr>
                                <w:b/>
                                <w:bCs/>
                                <w:sz w:val="32"/>
                                <w:szCs w:val="32"/>
                              </w:rPr>
                            </w:pPr>
                          </w:p>
                          <w:p w:rsidR="005A67BF" w:rsidRPr="00265DB9" w:rsidRDefault="005A67BF" w:rsidP="00050A3B">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E5EF57" id="Rectangle à coins arrondis 3" o:spid="_x0000_s1026" style="position:absolute;left:0;text-align:left;margin-left:82.1pt;margin-top:19.7pt;width:309pt;height:42.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" fillcolor="#666" strokecolor="#666" strokeweight="1pt">
                <v:fill color2="#ccc" angle="135" focus="50%" type="gradient"/>
                <v:shadow on="t" color="#7f7f7f" opacity=".5" offset="1pt"/>
                <v:textbox>
                  <w:txbxContent>
                    <w:p w:rsidR="005A67BF" w:rsidRPr="00050A3B" w:rsidRDefault="00050A3B" w:rsidP="000D6E2A">
                      <w:pPr>
                        <w:spacing w:after="317" w:line="259" w:lineRule="auto"/>
                        <w:jc w:val="center"/>
                        <w:rPr>
                          <w:sz w:val="32"/>
                          <w:szCs w:val="32"/>
                        </w:rPr>
                      </w:pPr>
                      <w:r w:rsidRPr="00050A3B">
                        <w:rPr>
                          <w:b/>
                          <w:bCs/>
                          <w:sz w:val="32"/>
                          <w:szCs w:val="32"/>
                        </w:rPr>
                        <w:t>Cours N°</w:t>
                      </w:r>
                      <w:r w:rsidR="000D6E2A">
                        <w:rPr>
                          <w:b/>
                          <w:bCs/>
                          <w:sz w:val="32"/>
                          <w:szCs w:val="32"/>
                        </w:rPr>
                        <w:t>9</w:t>
                      </w:r>
                      <w:bookmarkStart w:id="1" w:name="_GoBack"/>
                      <w:bookmarkEnd w:id="1"/>
                      <w:r w:rsidR="005A4AD4">
                        <w:rPr>
                          <w:b/>
                          <w:bCs/>
                          <w:sz w:val="32"/>
                          <w:szCs w:val="32"/>
                        </w:rPr>
                        <w:t xml:space="preserve"> </w:t>
                      </w:r>
                      <w:r w:rsidR="005A67BF" w:rsidRPr="00050A3B">
                        <w:rPr>
                          <w:b/>
                          <w:bCs/>
                          <w:sz w:val="32"/>
                          <w:szCs w:val="32"/>
                        </w:rPr>
                        <w:t>:</w:t>
                      </w:r>
                      <w:r w:rsidR="005A4AD4">
                        <w:rPr>
                          <w:b/>
                          <w:bCs/>
                          <w:sz w:val="32"/>
                          <w:szCs w:val="32"/>
                        </w:rPr>
                        <w:t xml:space="preserve"> Les</w:t>
                      </w:r>
                      <w:r w:rsidR="005A67BF" w:rsidRPr="00050A3B">
                        <w:rPr>
                          <w:b/>
                          <w:bCs/>
                          <w:sz w:val="32"/>
                          <w:szCs w:val="32"/>
                        </w:rPr>
                        <w:t xml:space="preserve"> </w:t>
                      </w:r>
                      <w:r w:rsidRPr="00050A3B">
                        <w:rPr>
                          <w:b/>
                          <w:bCs/>
                          <w:sz w:val="32"/>
                          <w:szCs w:val="32"/>
                        </w:rPr>
                        <w:t>Sciences de l'éducation</w:t>
                      </w:r>
                    </w:p>
                    <w:p w:rsidR="005A67BF" w:rsidRPr="00F9132E" w:rsidRDefault="005A67BF" w:rsidP="00050A3B">
                      <w:pPr>
                        <w:autoSpaceDE w:val="0"/>
                        <w:autoSpaceDN w:val="0"/>
                        <w:adjustRightInd w:val="0"/>
                        <w:spacing w:before="240" w:after="0" w:line="360" w:lineRule="auto"/>
                        <w:jc w:val="center"/>
                        <w:rPr>
                          <w:b/>
                          <w:bCs/>
                          <w:sz w:val="32"/>
                          <w:szCs w:val="32"/>
                        </w:rPr>
                      </w:pPr>
                    </w:p>
                    <w:p w:rsidR="005A67BF" w:rsidRPr="00265DB9" w:rsidRDefault="005A67BF" w:rsidP="00050A3B">
                      <w:pPr>
                        <w:jc w:val="center"/>
                        <w:rPr>
                          <w:szCs w:val="28"/>
                        </w:rPr>
                      </w:pPr>
                    </w:p>
                  </w:txbxContent>
                </v:textbox>
                <w10:wrap anchorx="margin"/>
              </v:roundrect>
            </w:pict>
          </mc:Fallback>
        </mc:AlternateContent>
      </w:r>
    </w:p>
    <w:p w:rsidR="005A67BF" w:rsidRPr="00F9132E" w:rsidRDefault="005A67BF" w:rsidP="005A67BF">
      <w:pPr>
        <w:spacing w:after="317" w:line="259" w:lineRule="auto"/>
        <w:ind w:left="720"/>
        <w:rPr>
          <w:b/>
          <w:sz w:val="32"/>
        </w:rPr>
      </w:pPr>
    </w:p>
    <w:p w:rsidR="005A67BF" w:rsidRPr="00F9132E" w:rsidRDefault="005A67BF" w:rsidP="005A67BF">
      <w:pPr>
        <w:spacing w:after="317" w:line="259" w:lineRule="auto"/>
        <w:ind w:left="720"/>
      </w:pPr>
    </w:p>
    <w:p w:rsidR="005A67BF" w:rsidRPr="00F9132E" w:rsidRDefault="005A67BF" w:rsidP="005A67BF">
      <w:pPr>
        <w:spacing w:after="317" w:line="259" w:lineRule="auto"/>
        <w:ind w:left="720"/>
      </w:pPr>
    </w:p>
    <w:p w:rsidR="005A67BF" w:rsidRPr="00F9132E" w:rsidRDefault="005A67BF" w:rsidP="005A67BF">
      <w:pPr>
        <w:spacing w:after="317" w:line="259" w:lineRule="auto"/>
        <w:ind w:left="720"/>
      </w:pPr>
    </w:p>
    <w:p w:rsidR="005A67BF" w:rsidRDefault="005A67BF" w:rsidP="005A67BF">
      <w:pPr>
        <w:spacing w:after="317" w:line="259" w:lineRule="auto"/>
      </w:pPr>
    </w:p>
    <w:p w:rsidR="00050A3B" w:rsidRPr="00F9132E" w:rsidRDefault="00050A3B" w:rsidP="005A67BF">
      <w:pPr>
        <w:spacing w:after="317" w:line="259" w:lineRule="auto"/>
      </w:pPr>
    </w:p>
    <w:p w:rsidR="00CE124A" w:rsidRPr="00B17831" w:rsidRDefault="005A67BF" w:rsidP="004B11E2">
      <w:pPr>
        <w:spacing w:after="317" w:line="259" w:lineRule="auto"/>
        <w:ind w:left="10" w:hanging="10"/>
        <w:jc w:val="center"/>
        <w:rPr>
          <w:b/>
          <w:bCs/>
        </w:rPr>
      </w:pPr>
      <w:r w:rsidRPr="00F9132E">
        <w:rPr>
          <w:b/>
          <w:bCs/>
        </w:rPr>
        <w:t>Année universitaire : 202</w:t>
      </w:r>
      <w:r w:rsidR="004B11E2">
        <w:rPr>
          <w:b/>
          <w:bCs/>
        </w:rPr>
        <w:t>3</w:t>
      </w:r>
      <w:r w:rsidRPr="00F9132E">
        <w:rPr>
          <w:b/>
          <w:bCs/>
        </w:rPr>
        <w:t>-202</w:t>
      </w:r>
      <w:r w:rsidR="004B11E2">
        <w:rPr>
          <w:b/>
          <w:bCs/>
        </w:rPr>
        <w:t>4</w:t>
      </w:r>
    </w:p>
    <w:p w:rsidR="00C42E2B" w:rsidRPr="00FE0B1C" w:rsidRDefault="009C7B3C" w:rsidP="00EC7DC1">
      <w:pPr>
        <w:pStyle w:val="Paragraphedeliste"/>
        <w:numPr>
          <w:ilvl w:val="0"/>
          <w:numId w:val="8"/>
        </w:numPr>
        <w:spacing w:after="0" w:line="276" w:lineRule="auto"/>
        <w:ind w:left="284" w:hanging="284"/>
        <w:jc w:val="left"/>
        <w:rPr>
          <w:b/>
          <w:bCs/>
        </w:rPr>
      </w:pPr>
      <w:r w:rsidRPr="00FE0B1C">
        <w:rPr>
          <w:b/>
          <w:bCs/>
        </w:rPr>
        <w:lastRenderedPageBreak/>
        <w:t>Introduction</w:t>
      </w:r>
    </w:p>
    <w:p w:rsidR="00C42E2B" w:rsidRPr="00F363D5" w:rsidRDefault="00C42E2B" w:rsidP="00EC7DC1">
      <w:pPr>
        <w:spacing w:after="0" w:line="276" w:lineRule="auto"/>
        <w:ind w:left="43" w:right="72" w:firstLine="14"/>
        <w:rPr>
          <w:szCs w:val="28"/>
        </w:rPr>
      </w:pPr>
      <w:r>
        <w:t>L'éducation a pris aujourd'hui une importance insoupçonnée : elle ne vise pas seulement à évoluer à l'intérieur de l'école, mais elle s'étend au-delà, pour s'allier à la science, à la sociologie, etc. Les termes de « nouvelle éducation », de « pédagogie scientifique », s'appliquent au mouvement ardent d'une réforme qui est le résultat d'une aspiration profonde, éprouvée par toute l'humanité. Aussi, considère-t-on que le progrès réalisé par l'éducation doit non seulement améliorer l'École, mais encore faire progresser la civilisation et améliorer l'homme à travers l'enfant. Il faut bien s'imprégner de cette idée que la contribution la plus positive à la paix sociale réside dans l'éducation de l'enfant</w:t>
      </w:r>
      <w:r w:rsidRPr="00F363D5">
        <w:rPr>
          <w:szCs w:val="28"/>
        </w:rPr>
        <w:t>.</w:t>
      </w:r>
      <w:r w:rsidR="00922A14" w:rsidRPr="00F363D5">
        <w:rPr>
          <w:szCs w:val="28"/>
        </w:rPr>
        <w:t xml:space="preserve"> </w:t>
      </w:r>
      <w:r w:rsidR="00F363D5" w:rsidRPr="00F363D5">
        <w:rPr>
          <w:szCs w:val="28"/>
        </w:rPr>
        <w:t>(</w:t>
      </w:r>
      <w:r w:rsidR="00922A14" w:rsidRPr="00F363D5">
        <w:rPr>
          <w:szCs w:val="28"/>
        </w:rPr>
        <w:t>Desclée de Brouwer</w:t>
      </w:r>
      <w:r w:rsidR="00F363D5" w:rsidRPr="00F363D5">
        <w:rPr>
          <w:szCs w:val="28"/>
        </w:rPr>
        <w:t>.</w:t>
      </w:r>
      <w:r w:rsidR="00922A14" w:rsidRPr="00F363D5">
        <w:rPr>
          <w:szCs w:val="28"/>
        </w:rPr>
        <w:t>2007</w:t>
      </w:r>
      <w:r w:rsidR="00F363D5" w:rsidRPr="00F363D5">
        <w:rPr>
          <w:szCs w:val="28"/>
        </w:rPr>
        <w:t>)</w:t>
      </w:r>
    </w:p>
    <w:p w:rsidR="00C42E2B" w:rsidRDefault="00C42E2B" w:rsidP="00EC7DC1">
      <w:pPr>
        <w:spacing w:after="0" w:line="276" w:lineRule="auto"/>
        <w:ind w:left="43" w:right="72"/>
      </w:pPr>
      <w:r>
        <w:t xml:space="preserve">Ce qu'on appelle « la </w:t>
      </w:r>
      <w:r w:rsidRPr="00DC5390">
        <w:rPr>
          <w:b/>
          <w:bCs/>
        </w:rPr>
        <w:t>nouvelle éducation</w:t>
      </w:r>
      <w:r>
        <w:t xml:space="preserve"> » représente donc un mouvement social profond.</w:t>
      </w:r>
    </w:p>
    <w:p w:rsidR="00F24293" w:rsidRDefault="00F24293" w:rsidP="00EC7DC1">
      <w:pPr>
        <w:spacing w:after="0" w:line="276" w:lineRule="auto"/>
        <w:ind w:left="43" w:right="72"/>
      </w:pPr>
    </w:p>
    <w:p w:rsidR="00CE124A" w:rsidRPr="00FE0B1C" w:rsidRDefault="00CE124A" w:rsidP="00EC7DC1">
      <w:pPr>
        <w:pStyle w:val="Paragraphedeliste"/>
        <w:numPr>
          <w:ilvl w:val="0"/>
          <w:numId w:val="8"/>
        </w:numPr>
        <w:spacing w:after="0" w:line="276" w:lineRule="auto"/>
        <w:ind w:left="284" w:right="72" w:hanging="284"/>
        <w:rPr>
          <w:b/>
          <w:bCs/>
        </w:rPr>
      </w:pPr>
      <w:r w:rsidRPr="00FE0B1C">
        <w:rPr>
          <w:b/>
          <w:bCs/>
        </w:rPr>
        <w:t xml:space="preserve">Qu’est-ce que les sciences de l’éducation ? </w:t>
      </w:r>
    </w:p>
    <w:p w:rsidR="00666DE8" w:rsidRPr="00020F38" w:rsidRDefault="00666DE8" w:rsidP="00EC7DC1">
      <w:pPr>
        <w:shd w:val="clear" w:color="auto" w:fill="FFFFFF"/>
        <w:spacing w:before="120" w:after="0" w:line="276" w:lineRule="auto"/>
        <w:ind w:firstLine="0"/>
        <w:jc w:val="left"/>
        <w:rPr>
          <w:color w:val="auto"/>
          <w:szCs w:val="28"/>
        </w:rPr>
      </w:pPr>
      <w:r w:rsidRPr="00020F38">
        <w:rPr>
          <w:color w:val="auto"/>
          <w:szCs w:val="28"/>
        </w:rPr>
        <w:t>Les sciences de l’éducation concernent l’étude de différents aspects de l’</w:t>
      </w:r>
      <w:hyperlink r:id="rId7" w:tooltip="Éducation" w:history="1">
        <w:r w:rsidRPr="00020F38">
          <w:rPr>
            <w:b/>
            <w:bCs/>
            <w:color w:val="auto"/>
            <w:szCs w:val="28"/>
          </w:rPr>
          <w:t>éducation</w:t>
        </w:r>
      </w:hyperlink>
      <w:r w:rsidRPr="00020F38">
        <w:rPr>
          <w:color w:val="auto"/>
          <w:szCs w:val="28"/>
        </w:rPr>
        <w:t>, et font appel à diverses disciplines : </w:t>
      </w:r>
      <w:hyperlink r:id="rId8" w:tooltip="Histoire de l'éducation" w:history="1">
        <w:r w:rsidRPr="00020F38">
          <w:rPr>
            <w:b/>
            <w:bCs/>
            <w:color w:val="auto"/>
            <w:szCs w:val="28"/>
          </w:rPr>
          <w:t>histoire de l'éducation</w:t>
        </w:r>
      </w:hyperlink>
      <w:r w:rsidRPr="00020F38">
        <w:rPr>
          <w:color w:val="auto"/>
          <w:szCs w:val="28"/>
        </w:rPr>
        <w:t>, </w:t>
      </w:r>
      <w:hyperlink r:id="rId9" w:tooltip="Sociologie de l'éducation" w:history="1">
        <w:r w:rsidRPr="00020F38">
          <w:rPr>
            <w:b/>
            <w:bCs/>
            <w:color w:val="auto"/>
            <w:szCs w:val="28"/>
          </w:rPr>
          <w:t>sociologie de l'éducation</w:t>
        </w:r>
      </w:hyperlink>
      <w:r w:rsidRPr="00020F38">
        <w:rPr>
          <w:color w:val="auto"/>
          <w:szCs w:val="28"/>
        </w:rPr>
        <w:t>, </w:t>
      </w:r>
      <w:hyperlink r:id="rId10" w:tooltip="Didactique" w:history="1">
        <w:r w:rsidRPr="00020F38">
          <w:rPr>
            <w:b/>
            <w:bCs/>
            <w:color w:val="auto"/>
            <w:szCs w:val="28"/>
          </w:rPr>
          <w:t>didactique</w:t>
        </w:r>
      </w:hyperlink>
      <w:r w:rsidRPr="00020F38">
        <w:rPr>
          <w:b/>
          <w:bCs/>
          <w:color w:val="auto"/>
          <w:szCs w:val="28"/>
        </w:rPr>
        <w:t> des </w:t>
      </w:r>
      <w:hyperlink r:id="rId11" w:tooltip="Discipline (spécialité)" w:history="1">
        <w:r w:rsidRPr="00020F38">
          <w:rPr>
            <w:b/>
            <w:bCs/>
            <w:color w:val="auto"/>
            <w:szCs w:val="28"/>
          </w:rPr>
          <w:t>disciplines</w:t>
        </w:r>
      </w:hyperlink>
      <w:r w:rsidRPr="00020F38">
        <w:rPr>
          <w:color w:val="auto"/>
          <w:szCs w:val="28"/>
        </w:rPr>
        <w:t xml:space="preserve">, </w:t>
      </w:r>
      <w:r w:rsidRPr="00020F38">
        <w:rPr>
          <w:b/>
          <w:bCs/>
          <w:color w:val="auto"/>
          <w:szCs w:val="28"/>
        </w:rPr>
        <w:t>psychologie des apprentissages</w:t>
      </w:r>
      <w:r w:rsidRPr="00020F38">
        <w:rPr>
          <w:color w:val="auto"/>
          <w:szCs w:val="28"/>
        </w:rPr>
        <w:t xml:space="preserve">, </w:t>
      </w:r>
      <w:r w:rsidRPr="00020F38">
        <w:rPr>
          <w:b/>
          <w:bCs/>
          <w:color w:val="auto"/>
          <w:szCs w:val="28"/>
        </w:rPr>
        <w:t>pédagogie</w:t>
      </w:r>
      <w:r w:rsidRPr="00020F38">
        <w:rPr>
          <w:color w:val="auto"/>
          <w:szCs w:val="28"/>
        </w:rPr>
        <w:t xml:space="preserve">, ou encore </w:t>
      </w:r>
      <w:r w:rsidRPr="00020F38">
        <w:rPr>
          <w:b/>
          <w:bCs/>
          <w:color w:val="auto"/>
          <w:szCs w:val="28"/>
        </w:rPr>
        <w:t>philosophie</w:t>
      </w:r>
      <w:r w:rsidRPr="00020F38">
        <w:rPr>
          <w:color w:val="auto"/>
          <w:szCs w:val="28"/>
        </w:rPr>
        <w:t>.</w:t>
      </w:r>
    </w:p>
    <w:p w:rsidR="00666DE8" w:rsidRPr="00FE0B1C" w:rsidRDefault="00666DE8" w:rsidP="00EC7DC1">
      <w:pPr>
        <w:pStyle w:val="Paragraphedeliste"/>
        <w:numPr>
          <w:ilvl w:val="0"/>
          <w:numId w:val="8"/>
        </w:numPr>
        <w:shd w:val="clear" w:color="auto" w:fill="FFFFFF"/>
        <w:spacing w:before="120" w:after="0" w:line="276" w:lineRule="auto"/>
        <w:ind w:left="284" w:hanging="284"/>
        <w:jc w:val="left"/>
        <w:rPr>
          <w:b/>
          <w:bCs/>
          <w:color w:val="54595D"/>
          <w:szCs w:val="28"/>
        </w:rPr>
      </w:pPr>
      <w:r w:rsidRPr="00FE0B1C">
        <w:rPr>
          <w:b/>
          <w:bCs/>
          <w:szCs w:val="28"/>
        </w:rPr>
        <w:t>Définition</w:t>
      </w:r>
    </w:p>
    <w:p w:rsidR="00666DE8" w:rsidRPr="006F225C" w:rsidRDefault="00666DE8" w:rsidP="00EC7DC1">
      <w:pPr>
        <w:shd w:val="clear" w:color="auto" w:fill="FFFFFF"/>
        <w:spacing w:before="120" w:after="0" w:line="276" w:lineRule="auto"/>
        <w:ind w:firstLine="0"/>
        <w:jc w:val="left"/>
        <w:rPr>
          <w:color w:val="auto"/>
          <w:szCs w:val="28"/>
        </w:rPr>
      </w:pPr>
      <w:r w:rsidRPr="006F225C">
        <w:rPr>
          <w:color w:val="auto"/>
          <w:szCs w:val="28"/>
        </w:rPr>
        <w:t>À la fin du </w:t>
      </w:r>
      <w:r w:rsidR="008A25F1" w:rsidRPr="006F225C">
        <w:rPr>
          <w:smallCaps/>
          <w:color w:val="auto"/>
          <w:szCs w:val="28"/>
        </w:rPr>
        <w:t>XIX</w:t>
      </w:r>
      <w:r w:rsidR="008A25F1" w:rsidRPr="006F225C">
        <w:rPr>
          <w:color w:val="auto"/>
          <w:szCs w:val="28"/>
          <w:vertAlign w:val="superscript"/>
        </w:rPr>
        <w:t>e</w:t>
      </w:r>
      <w:r w:rsidRPr="006F225C">
        <w:rPr>
          <w:color w:val="auto"/>
          <w:szCs w:val="28"/>
        </w:rPr>
        <w:t> siècle en France, on parle initialement de science de l'éducation, puis des sciences de l'éducation. Cette discipline est née dans un contexte politique à la fois général et scolaire, avec les lois sur l'instruction obligatoire et la diffusion de l'école publique. Ainsi, de nombreux auteurs ont proposé leur définition sur cette discipline :</w:t>
      </w:r>
    </w:p>
    <w:p w:rsidR="00666DE8" w:rsidRPr="006F225C" w:rsidRDefault="00666DE8" w:rsidP="00EC7DC1">
      <w:pPr>
        <w:numPr>
          <w:ilvl w:val="0"/>
          <w:numId w:val="1"/>
        </w:numPr>
        <w:shd w:val="clear" w:color="auto" w:fill="FFFFFF"/>
        <w:spacing w:before="100" w:beforeAutospacing="1" w:after="0" w:line="276" w:lineRule="auto"/>
        <w:ind w:left="384"/>
        <w:jc w:val="left"/>
        <w:rPr>
          <w:color w:val="auto"/>
          <w:szCs w:val="28"/>
        </w:rPr>
      </w:pPr>
      <w:r w:rsidRPr="006F225C">
        <w:rPr>
          <w:color w:val="auto"/>
          <w:szCs w:val="28"/>
        </w:rPr>
        <w:t xml:space="preserve">Pour </w:t>
      </w:r>
      <w:r w:rsidRPr="006F225C">
        <w:rPr>
          <w:b/>
          <w:bCs/>
          <w:color w:val="auto"/>
          <w:szCs w:val="28"/>
        </w:rPr>
        <w:t>Louis Not</w:t>
      </w:r>
      <w:r w:rsidRPr="006F225C">
        <w:rPr>
          <w:color w:val="auto"/>
          <w:szCs w:val="28"/>
        </w:rPr>
        <w:t> : La science de l'éducation serait centrée sur la réalité éducative, elle interrogerait les autres sciences pour en synthétiser les résultats sous forme de théorie qui serait à son tour confrontée à la pratique.</w:t>
      </w:r>
    </w:p>
    <w:p w:rsidR="00666DE8" w:rsidRPr="006F225C" w:rsidRDefault="00666DE8" w:rsidP="00EC7DC1">
      <w:pPr>
        <w:numPr>
          <w:ilvl w:val="0"/>
          <w:numId w:val="1"/>
        </w:numPr>
        <w:shd w:val="clear" w:color="auto" w:fill="FFFFFF"/>
        <w:spacing w:before="100" w:beforeAutospacing="1" w:after="0" w:line="276" w:lineRule="auto"/>
        <w:ind w:left="384"/>
        <w:jc w:val="left"/>
        <w:rPr>
          <w:color w:val="auto"/>
          <w:szCs w:val="28"/>
        </w:rPr>
      </w:pPr>
      <w:r w:rsidRPr="006F225C">
        <w:rPr>
          <w:color w:val="auto"/>
          <w:szCs w:val="28"/>
        </w:rPr>
        <w:t xml:space="preserve">Pour </w:t>
      </w:r>
      <w:r w:rsidRPr="006F225C">
        <w:rPr>
          <w:b/>
          <w:bCs/>
          <w:color w:val="auto"/>
          <w:szCs w:val="28"/>
        </w:rPr>
        <w:t>Viviane de Landsheere</w:t>
      </w:r>
      <w:r w:rsidRPr="006F225C">
        <w:rPr>
          <w:color w:val="auto"/>
          <w:szCs w:val="28"/>
        </w:rPr>
        <w:t xml:space="preserve"> : distinction entre recherche en éducation qui porterait directement sur l'éducation et la formation et la recherche sur l'éducation qui serait dépendante des différentes disciplines scientifiques, elle serait tributaire des critères de validité des sciences mères. Il s'agit d'élaborer une théorie générale du curriculum conçu comme l'ensemble intégré des activités poursuivant des fins </w:t>
      </w:r>
      <w:r w:rsidRPr="0025476B">
        <w:rPr>
          <w:i/>
          <w:iCs/>
          <w:color w:val="auto"/>
          <w:szCs w:val="28"/>
        </w:rPr>
        <w:t>éducatives ou formatives</w:t>
      </w:r>
      <w:r w:rsidRPr="006F225C">
        <w:rPr>
          <w:color w:val="auto"/>
          <w:szCs w:val="28"/>
        </w:rPr>
        <w:t>.</w:t>
      </w:r>
    </w:p>
    <w:p w:rsidR="00727306" w:rsidRPr="0056449F" w:rsidRDefault="00666DE8" w:rsidP="00EC7DC1">
      <w:pPr>
        <w:numPr>
          <w:ilvl w:val="0"/>
          <w:numId w:val="1"/>
        </w:numPr>
        <w:shd w:val="clear" w:color="auto" w:fill="FFFFFF"/>
        <w:spacing w:before="100" w:beforeAutospacing="1" w:after="0" w:line="276" w:lineRule="auto"/>
        <w:ind w:left="384"/>
        <w:jc w:val="left"/>
        <w:rPr>
          <w:color w:val="auto"/>
          <w:szCs w:val="28"/>
        </w:rPr>
      </w:pPr>
      <w:r w:rsidRPr="006F225C">
        <w:rPr>
          <w:color w:val="auto"/>
          <w:szCs w:val="28"/>
        </w:rPr>
        <w:t xml:space="preserve">Pour </w:t>
      </w:r>
      <w:r w:rsidRPr="006F225C">
        <w:rPr>
          <w:b/>
          <w:bCs/>
          <w:color w:val="auto"/>
          <w:szCs w:val="28"/>
        </w:rPr>
        <w:t>Gaston Mialaret</w:t>
      </w:r>
      <w:r w:rsidRPr="006F225C">
        <w:rPr>
          <w:color w:val="auto"/>
          <w:szCs w:val="28"/>
        </w:rPr>
        <w:t xml:space="preserve">, Les sciences de l'éducation sont constituées par l'ensemble des disciplines qui étudient les conditions d'existence, de </w:t>
      </w:r>
      <w:r w:rsidRPr="006F225C">
        <w:rPr>
          <w:color w:val="auto"/>
          <w:szCs w:val="28"/>
        </w:rPr>
        <w:lastRenderedPageBreak/>
        <w:t xml:space="preserve">fonctionnement, et d'évolution des situations et des faits d'éducation. Selon lui, démêler les facteurs qui entrent en jeu requiert le recours à plusieurs disciplines scientifiques : </w:t>
      </w:r>
      <w:r w:rsidRPr="00F01EA3">
        <w:rPr>
          <w:i/>
          <w:iCs/>
          <w:color w:val="auto"/>
          <w:szCs w:val="28"/>
        </w:rPr>
        <w:t>sociologie de l'éducation, histoire, démographie, économie de l'éducation.</w:t>
      </w:r>
    </w:p>
    <w:p w:rsidR="0056449F" w:rsidRDefault="0056449F" w:rsidP="0056449F">
      <w:pPr>
        <w:numPr>
          <w:ilvl w:val="0"/>
          <w:numId w:val="1"/>
        </w:numPr>
        <w:shd w:val="clear" w:color="auto" w:fill="FFFFFF"/>
        <w:spacing w:after="0" w:line="276" w:lineRule="auto"/>
        <w:rPr>
          <w:color w:val="auto"/>
          <w:szCs w:val="28"/>
        </w:rPr>
      </w:pPr>
      <w:r>
        <w:rPr>
          <w:color w:val="auto"/>
          <w:szCs w:val="28"/>
        </w:rPr>
        <w:t xml:space="preserve">Pour </w:t>
      </w:r>
      <w:r>
        <w:rPr>
          <w:b/>
          <w:bCs/>
          <w:color w:val="auto"/>
          <w:szCs w:val="28"/>
        </w:rPr>
        <w:t>Emmanuel KANT</w:t>
      </w:r>
      <w:r w:rsidRPr="0056449F">
        <w:rPr>
          <w:color w:val="auto"/>
          <w:szCs w:val="28"/>
        </w:rPr>
        <w:t xml:space="preserve"> : l’éducation par la raison</w:t>
      </w:r>
      <w:r>
        <w:rPr>
          <w:color w:val="auto"/>
          <w:szCs w:val="28"/>
        </w:rPr>
        <w:t xml:space="preserve"> « Comment doit-on</w:t>
      </w:r>
    </w:p>
    <w:p w:rsidR="0056449F" w:rsidRPr="0056449F" w:rsidRDefault="0056449F" w:rsidP="0056449F">
      <w:pPr>
        <w:shd w:val="clear" w:color="auto" w:fill="FFFFFF"/>
        <w:spacing w:after="0" w:line="276" w:lineRule="auto"/>
        <w:ind w:left="360" w:firstLine="0"/>
        <w:rPr>
          <w:color w:val="auto"/>
          <w:szCs w:val="28"/>
        </w:rPr>
      </w:pPr>
      <w:r w:rsidRPr="0056449F">
        <w:rPr>
          <w:color w:val="auto"/>
          <w:szCs w:val="28"/>
        </w:rPr>
        <w:t>chercher la perfection ? Où réside notre espoir ? Dans l’éducation et dans rien d’autre. » Avant de devenir professeur, le philosophe allemand Emmanuel Kant (1724-1804) a été précepteur. Dans ses Réflexions sur l’éducation, issues des notes de cours de l’un de ses étudiants, Kant estime que l’éducation consiste à faire passer l’enfant d’un état naturel irrationnel à un état moral rationnel. Cependant, le professeur de Königsberg se démarque des principes de Locke : « Si notre connaissance commence avec l’expérience, il ne s’ensuit pas qu’elle procède de l’expérience. » Pour lui, la loi morale s’acquiert par la raison, et c’est en suivant cette loi que l’individu devient autonome. Si l’enfant ne naît ni bon ni mauvais, Kant déclare tout comme Rousseau que « la liberté, c’est d’obéir à la loi que nous nous prescrivons », une loi rationnelle, ap</w:t>
      </w:r>
      <w:r>
        <w:rPr>
          <w:color w:val="auto"/>
          <w:szCs w:val="28"/>
        </w:rPr>
        <w:t xml:space="preserve">plicable à l’humanité entière. </w:t>
      </w:r>
    </w:p>
    <w:p w:rsidR="00E71133" w:rsidRDefault="00727306" w:rsidP="00391356">
      <w:pPr>
        <w:pStyle w:val="Paragraphedeliste"/>
        <w:numPr>
          <w:ilvl w:val="0"/>
          <w:numId w:val="8"/>
        </w:numPr>
        <w:spacing w:after="0" w:line="276" w:lineRule="auto"/>
        <w:ind w:left="284" w:hanging="284"/>
        <w:jc w:val="left"/>
        <w:rPr>
          <w:b/>
          <w:bCs/>
          <w:szCs w:val="28"/>
        </w:rPr>
      </w:pPr>
      <w:r w:rsidRPr="00727306">
        <w:rPr>
          <w:b/>
          <w:bCs/>
          <w:szCs w:val="28"/>
        </w:rPr>
        <w:t>Sciences de l'éducation et pédagogie</w:t>
      </w:r>
    </w:p>
    <w:p w:rsidR="00727306" w:rsidRPr="00E93AD1" w:rsidRDefault="00727306" w:rsidP="00E93AD1">
      <w:pPr>
        <w:spacing w:after="0" w:line="276" w:lineRule="auto"/>
        <w:ind w:firstLine="0"/>
        <w:jc w:val="left"/>
        <w:rPr>
          <w:b/>
          <w:bCs/>
          <w:szCs w:val="28"/>
        </w:rPr>
      </w:pPr>
      <w:r w:rsidRPr="00E93AD1">
        <w:rPr>
          <w:szCs w:val="28"/>
        </w:rPr>
        <w:t xml:space="preserve">Philippe </w:t>
      </w:r>
      <w:r w:rsidR="00EC58DA" w:rsidRPr="00E93AD1">
        <w:rPr>
          <w:szCs w:val="28"/>
        </w:rPr>
        <w:t>MEIRIEU «</w:t>
      </w:r>
      <w:r w:rsidRPr="00E93AD1">
        <w:rPr>
          <w:szCs w:val="28"/>
        </w:rPr>
        <w:t xml:space="preserve"> Certes, les sciences de l'éducation apportent, chacune en son champ, des moissons de faits vérifiables. Mais la pédagogie n'est pas, tant s'en faut, la science de l'éducation. Elle est une pratique de la décision concernant cette dernière. L'incertitude est donc son lot. Incertitude conjoncturelle, augmentée par la mobilité parfois vertigineuse des repères contemporains, mais incertitude essentielle dès lors qu'une connaissance et une action sont à conjoindre dans une théorie de la pratique. »</w:t>
      </w:r>
    </w:p>
    <w:p w:rsidR="00535010" w:rsidRPr="00535010" w:rsidRDefault="00535010" w:rsidP="00391356">
      <w:pPr>
        <w:spacing w:after="0" w:line="276" w:lineRule="auto"/>
        <w:ind w:left="-15" w:right="-13" w:firstLine="0"/>
        <w:rPr>
          <w:rFonts w:eastAsia="Verdana"/>
          <w:szCs w:val="28"/>
        </w:rPr>
      </w:pPr>
      <w:r w:rsidRPr="00535010">
        <w:rPr>
          <w:rFonts w:eastAsia="Verdana"/>
          <w:szCs w:val="28"/>
        </w:rPr>
        <w:t>Le rapport des sciences de l'éducation et de la pédagogie n'est pas simple et la réflexion sur ce rapport est, plus que jamais, d'actualité. Seule cette réflexion bien conduite peut nous permettre, en effet, d'espérer dépasser les polémiques stériles qui se sont développées, depuis quelques années autour de cette question et qui, tout en absorbant une énergie considérable, contribuent très largement à "brouiller les cartes" dans le champ éducatif.</w:t>
      </w:r>
    </w:p>
    <w:p w:rsidR="00535010" w:rsidRPr="000E71C3" w:rsidRDefault="00535010" w:rsidP="00391356">
      <w:pPr>
        <w:pStyle w:val="Paragraphedeliste"/>
        <w:numPr>
          <w:ilvl w:val="0"/>
          <w:numId w:val="8"/>
        </w:numPr>
        <w:spacing w:after="0" w:line="276" w:lineRule="auto"/>
        <w:ind w:left="284" w:hanging="284"/>
        <w:jc w:val="left"/>
        <w:rPr>
          <w:rFonts w:eastAsia="Verdana"/>
          <w:iCs/>
          <w:szCs w:val="28"/>
        </w:rPr>
      </w:pPr>
      <w:r w:rsidRPr="000E71C3">
        <w:rPr>
          <w:rFonts w:eastAsia="Verdana"/>
          <w:b/>
          <w:iCs/>
          <w:szCs w:val="28"/>
        </w:rPr>
        <w:t>Qui était le pédagogue ?</w:t>
      </w:r>
    </w:p>
    <w:p w:rsidR="00535010" w:rsidRPr="00535010" w:rsidRDefault="00535010" w:rsidP="00B0437B">
      <w:pPr>
        <w:spacing w:after="0" w:line="276" w:lineRule="auto"/>
        <w:ind w:left="-15" w:right="-13" w:firstLine="0"/>
        <w:rPr>
          <w:rFonts w:eastAsia="Verdana"/>
          <w:szCs w:val="28"/>
        </w:rPr>
      </w:pPr>
      <w:r w:rsidRPr="00535010">
        <w:rPr>
          <w:rFonts w:eastAsia="Verdana"/>
          <w:szCs w:val="28"/>
        </w:rPr>
        <w:t xml:space="preserve">On sait que le "pédagogue" était, dans la Grèce antique, le premier des esclaves, celui qui avait la confiance des maîtres puisqu'il devait remplir une mission particulièrement délicate : amener l'enfant à l'École. Mais il ne s'agissait pas seulement de décider de l'itinéraire pour se rendre en classe (d'ailleurs les "classes" n'existaient pas encore… telles que nous les connaissons, elles n'ont, tout au plus, </w:t>
      </w:r>
      <w:r w:rsidRPr="00535010">
        <w:rPr>
          <w:rFonts w:eastAsia="Verdana"/>
          <w:szCs w:val="28"/>
        </w:rPr>
        <w:lastRenderedPageBreak/>
        <w:t xml:space="preserve">que deux siècles !). Sa responsabilité était d'une toute autre importance, puisque le "pédagogue" devait choisir les disciplines que l'on devait enseigner à l'enfant (l'escrime ou les mathématiques, la natation ou la versification ?) ainsi que les précepteurs chargés de </w:t>
      </w:r>
      <w:r w:rsidR="004664F6" w:rsidRPr="00535010">
        <w:rPr>
          <w:rFonts w:eastAsia="Verdana"/>
          <w:szCs w:val="28"/>
        </w:rPr>
        <w:t>ces enseignements</w:t>
      </w:r>
      <w:r w:rsidRPr="00535010">
        <w:rPr>
          <w:rFonts w:eastAsia="Verdana"/>
          <w:szCs w:val="28"/>
        </w:rPr>
        <w:t>. En réalité, en accord avec ses maîtres, le "pédagogue" décidait donc du type d'homme qu'il s'agissait de former, de l'équilibre des savoirs que l'on devait lui enseigner ainsi que des méthodes et des personnes qui lui convenaient le mieux</w:t>
      </w:r>
      <w:r w:rsidRPr="00535010">
        <w:rPr>
          <w:rFonts w:eastAsia="Verdana"/>
          <w:szCs w:val="28"/>
          <w:vertAlign w:val="superscript"/>
        </w:rPr>
        <w:footnoteReference w:id="1"/>
      </w:r>
      <w:r w:rsidRPr="00535010">
        <w:rPr>
          <w:rFonts w:eastAsia="Verdana"/>
          <w:szCs w:val="28"/>
        </w:rPr>
        <w:t>.</w:t>
      </w:r>
    </w:p>
    <w:p w:rsidR="00535010" w:rsidRPr="00535010" w:rsidRDefault="00535010" w:rsidP="006025E0">
      <w:pPr>
        <w:spacing w:after="0" w:line="276" w:lineRule="auto"/>
        <w:ind w:left="-15" w:right="-13" w:firstLine="0"/>
        <w:rPr>
          <w:rFonts w:eastAsia="Verdana"/>
          <w:szCs w:val="28"/>
        </w:rPr>
      </w:pPr>
      <w:r w:rsidRPr="00535010">
        <w:rPr>
          <w:rFonts w:eastAsia="Verdana"/>
          <w:szCs w:val="28"/>
        </w:rPr>
        <w:t xml:space="preserve">On voit qu'une telle "fonction pédagogique" n'est pas, aujourd'hui, devenue désuète, dans la mesure où il s'agit toujours - plus que jamais ? de savoir quel homme nous voulons former et comment nous pouvons y parvenir. Car, s'il est, de toute évidence, un phénomène majeur qui caractérise la modernité, c'est bien l'effondrement des grandes "théories de référence" qui permettaient de "fonder" l'éducation et évitaient de trop avoir à s'interroger sur les questions pédagogiques... En effet, quand il existait, dans une société, une "vérité révélée", reconnue consensuellement ou imposée par un pouvoir quelconque - que cette "vérité" soit d'ordre mythologique, théologique, philosophique ou politique -, on savait "à quoi et comment éduquer les enfants". Ce n'était guère discuté que par quelques originaux que Durkheim, au </w:t>
      </w:r>
      <w:r w:rsidR="006A3B65" w:rsidRPr="00535010">
        <w:rPr>
          <w:rFonts w:eastAsia="Verdana"/>
          <w:szCs w:val="28"/>
        </w:rPr>
        <w:t>dix-neuvième</w:t>
      </w:r>
      <w:r w:rsidRPr="00535010">
        <w:rPr>
          <w:rFonts w:eastAsia="Verdana"/>
          <w:szCs w:val="28"/>
        </w:rPr>
        <w:t xml:space="preserve"> siècle, qualifiait de dangereux utopistes ! Mais, aujourd'hui "où le ciel est vide", où les grandes explications historico-philosophiques du monde (comme le marxisme) ne fonctionnent plus guère, ou l'économie de nos sociétés libérales n'est plus capable d'assurer l'insertion de tous et la restauration du lien social par l'emploi, la question de savoir </w:t>
      </w:r>
      <w:r w:rsidRPr="00535010">
        <w:rPr>
          <w:rFonts w:eastAsia="Verdana"/>
          <w:i/>
          <w:szCs w:val="28"/>
        </w:rPr>
        <w:t>"à quelles valeurs, à quels savoirs et par quelles méthodes élever nos enfants ? "</w:t>
      </w:r>
      <w:r w:rsidRPr="00535010">
        <w:rPr>
          <w:rFonts w:eastAsia="Verdana"/>
          <w:szCs w:val="28"/>
        </w:rPr>
        <w:t>est devenue, tout à la fois, une question majeure pour nos institutions publiques et une question "privée" à laquelle se trouve confronté tout éducateur... à laquelle il doit nécessairement ré</w:t>
      </w:r>
      <w:r w:rsidR="00F51559">
        <w:rPr>
          <w:rFonts w:eastAsia="Verdana"/>
          <w:szCs w:val="28"/>
        </w:rPr>
        <w:t>pondre - au moins implicitement</w:t>
      </w:r>
      <w:r w:rsidRPr="00535010">
        <w:rPr>
          <w:rFonts w:eastAsia="Verdana"/>
          <w:szCs w:val="28"/>
        </w:rPr>
        <w:t>- dès qu'il a "un enfant sur les bras". Et, sauf à nous précipiter dans de nouveaux "systèmes de pensée" susceptibles de nous apporter des réponses toutes faites - tentation sans cesse renaissante et dont la montée actuelle de multiples formes d'inté</w:t>
      </w:r>
      <w:r w:rsidR="00433B81">
        <w:rPr>
          <w:rFonts w:eastAsia="Verdana"/>
          <w:szCs w:val="28"/>
        </w:rPr>
        <w:t>grismes est un signe inquiétant-</w:t>
      </w:r>
      <w:r w:rsidRPr="00535010">
        <w:rPr>
          <w:rFonts w:eastAsia="Verdana"/>
          <w:szCs w:val="28"/>
        </w:rPr>
        <w:t>nous sommes « condamnés » à la réflexion pédagogique"... ne serait-ce que pour avoir quelque idée sur ce que nous voulons pour nos enfants !</w:t>
      </w:r>
    </w:p>
    <w:p w:rsidR="00535010" w:rsidRPr="000E71C3" w:rsidRDefault="00535010" w:rsidP="006025E0">
      <w:pPr>
        <w:pStyle w:val="Paragraphedeliste"/>
        <w:numPr>
          <w:ilvl w:val="0"/>
          <w:numId w:val="8"/>
        </w:numPr>
        <w:spacing w:after="0" w:line="276" w:lineRule="auto"/>
        <w:ind w:left="284" w:hanging="284"/>
        <w:jc w:val="left"/>
        <w:rPr>
          <w:rFonts w:eastAsia="Verdana"/>
          <w:iCs/>
          <w:szCs w:val="28"/>
        </w:rPr>
      </w:pPr>
      <w:r w:rsidRPr="000E71C3">
        <w:rPr>
          <w:rFonts w:eastAsia="Verdana"/>
          <w:b/>
          <w:iCs/>
          <w:szCs w:val="28"/>
        </w:rPr>
        <w:t>Qu’est-ce qui caractérise les écrits pédagogiques ?</w:t>
      </w:r>
    </w:p>
    <w:p w:rsidR="00535010" w:rsidRPr="00535010" w:rsidRDefault="00535010" w:rsidP="006025E0">
      <w:pPr>
        <w:spacing w:after="0" w:line="276" w:lineRule="auto"/>
        <w:ind w:left="-15" w:right="-13" w:firstLine="698"/>
        <w:rPr>
          <w:rFonts w:eastAsia="Verdana"/>
          <w:szCs w:val="28"/>
        </w:rPr>
      </w:pPr>
      <w:r w:rsidRPr="00535010">
        <w:rPr>
          <w:rFonts w:eastAsia="Verdana"/>
          <w:szCs w:val="28"/>
        </w:rPr>
        <w:lastRenderedPageBreak/>
        <w:t>Mais, pour avancer sur cette voie et nous aider dans notre réflexion, nous ne disposions essentiellement, depuis des siècles, que de "traités de pédagogie" émanant surtout des philosophes, auxquels sont venus s'ajouter, depuis trois siècles à peine, des "essais pédagogiques" : ces derniers ont été rédigés, pour la plupart, par des hommes engagés et militants, des hommes aux prises avec des difficultés éducatives au quotidien et qui nous ont fait part de leur révolte à l'égard des injustices commises envers l'enfance, de leur inquiétude sur les moyens dangereux ou insuffisants mis à leur disposition pour éduquer les "petits d'hommes", de leur souci de les "respecter" tout en leur apportant la nourriture intellectuelle et l'affection nécessaires à leur développement. Pour faire simple et tenter de clarifier un peu les choses, ces hommes-là, nous pouvons les appeler des "pédagogues".</w:t>
      </w:r>
    </w:p>
    <w:p w:rsidR="00535010" w:rsidRPr="00535010" w:rsidRDefault="00535010" w:rsidP="006025E0">
      <w:pPr>
        <w:spacing w:after="0" w:line="276" w:lineRule="auto"/>
        <w:ind w:left="-15" w:right="-13" w:firstLine="698"/>
        <w:rPr>
          <w:rFonts w:eastAsia="Verdana"/>
          <w:szCs w:val="28"/>
        </w:rPr>
      </w:pPr>
      <w:r w:rsidRPr="00535010">
        <w:rPr>
          <w:rFonts w:eastAsia="Verdana"/>
          <w:szCs w:val="28"/>
        </w:rPr>
        <w:t xml:space="preserve">On considère, en général, Rousseau comme le premier des pédagogues de l'époque moderne et c'est, tout à la fois, vrai et faux : c'est vrai parce que Rousseau est, sans doute, le premier à avoir insisté sur la nécessité d'accompagner l'enfant dans son développement, de stimuler systématiquement sa curiosité et de le mettre en situation de construire </w:t>
      </w:r>
      <w:r w:rsidR="00E43745" w:rsidRPr="00535010">
        <w:rPr>
          <w:rFonts w:eastAsia="Verdana"/>
          <w:szCs w:val="28"/>
        </w:rPr>
        <w:t>lui-même</w:t>
      </w:r>
      <w:r w:rsidRPr="00535010">
        <w:rPr>
          <w:rFonts w:eastAsia="Verdana"/>
          <w:szCs w:val="28"/>
        </w:rPr>
        <w:t xml:space="preserve"> ses connaissances plutôt que de les recevoir passivement ; c’est vrai, aussi, parce que Rousseau a compris le lien profond qui unit « pédagogie » et « politique », méthodes éducatives et construction de la démocratie : il s’agit de rendre l’individu capable de s’émanciper de toute forme de tutelle pour s’associer librement avec d’autres au sein du « pacte social » (n’oublions pas qu’une première version du </w:t>
      </w:r>
      <w:r w:rsidRPr="00535010">
        <w:rPr>
          <w:rFonts w:eastAsia="Verdana"/>
          <w:i/>
          <w:szCs w:val="28"/>
        </w:rPr>
        <w:t>Contrat social</w:t>
      </w:r>
      <w:r w:rsidRPr="00535010">
        <w:rPr>
          <w:rFonts w:eastAsia="Verdana"/>
          <w:szCs w:val="28"/>
        </w:rPr>
        <w:t xml:space="preserve"> existe déjà dans l’</w:t>
      </w:r>
      <w:r w:rsidRPr="00535010">
        <w:rPr>
          <w:rFonts w:eastAsia="Verdana"/>
          <w:i/>
          <w:szCs w:val="28"/>
        </w:rPr>
        <w:t>Émile</w:t>
      </w:r>
      <w:r w:rsidRPr="00535010">
        <w:rPr>
          <w:rFonts w:eastAsia="Verdana"/>
          <w:szCs w:val="28"/>
        </w:rPr>
        <w:t>)... Mais Rousseau resta pourtant un théoricien de l'éducation, inscrivant ses spéculations éducatives dans une philosophie cohérente sans, toutefois, tenter de les faire passer lui-même dans ses actes, et il faut attendre son disciple suisse Pestalozzi pour voir comment quelqu'un se bat concrètement pour mettre en pratique ces idées... et parvient à théoriser cet engagement comme à en décrire les difficultés.</w:t>
      </w:r>
    </w:p>
    <w:p w:rsidR="00535010" w:rsidRPr="00535010" w:rsidRDefault="00535010" w:rsidP="006025E0">
      <w:pPr>
        <w:spacing w:after="0" w:line="276" w:lineRule="auto"/>
        <w:ind w:left="-15" w:right="-13" w:firstLine="698"/>
        <w:rPr>
          <w:rFonts w:eastAsia="Verdana"/>
          <w:szCs w:val="28"/>
        </w:rPr>
      </w:pPr>
      <w:r w:rsidRPr="00535010">
        <w:rPr>
          <w:rFonts w:eastAsia="Verdana"/>
          <w:szCs w:val="28"/>
        </w:rPr>
        <w:t xml:space="preserve">Ainsi, de Pestalozzi, tentant d'éduquer les orphelins de Stans (l'armée bonapartiste avait rasé la ville et tué la plupart des adultes quand Pestalozzi, adepte des idées de la révolution française, accepta d'y ouvrir un orphelinat), jusqu'à Don Bosco, récupérant les "gamins des rues" ou Korczak, recueillant les enfants juifs du ghetto de Varsovie, on peut suivre la même trace d'un discours pédagogique émanant de praticiens qui se coltinent avec la rude </w:t>
      </w:r>
      <w:r w:rsidRPr="00535010">
        <w:rPr>
          <w:rFonts w:eastAsia="Verdana"/>
          <w:b/>
          <w:bCs/>
          <w:szCs w:val="28"/>
        </w:rPr>
        <w:t xml:space="preserve">tâche </w:t>
      </w:r>
      <w:r w:rsidRPr="00535010">
        <w:rPr>
          <w:rFonts w:eastAsia="Verdana"/>
          <w:szCs w:val="28"/>
        </w:rPr>
        <w:t>d' "</w:t>
      </w:r>
      <w:r w:rsidRPr="00535010">
        <w:rPr>
          <w:rFonts w:eastAsia="Verdana"/>
          <w:i/>
          <w:iCs/>
          <w:szCs w:val="28"/>
        </w:rPr>
        <w:t>éduquer sans contraindre</w:t>
      </w:r>
      <w:r w:rsidRPr="00535010">
        <w:rPr>
          <w:rFonts w:eastAsia="Verdana"/>
          <w:szCs w:val="28"/>
        </w:rPr>
        <w:t xml:space="preserve">", de développer des personnalités autonomes et de donner les outils nécessaires pour s'intégrer dans la société - que l'on espère ainsi faire évoluer vers </w:t>
      </w:r>
      <w:r w:rsidRPr="00535010">
        <w:rPr>
          <w:rFonts w:eastAsia="Verdana"/>
          <w:szCs w:val="28"/>
        </w:rPr>
        <w:lastRenderedPageBreak/>
        <w:t>plus de justice et de solidarité -, d'éveiller les intelligences des gosses et de les socialiser tout à la fois.</w:t>
      </w:r>
    </w:p>
    <w:p w:rsidR="00535010" w:rsidRPr="00535010" w:rsidRDefault="00535010" w:rsidP="006025E0">
      <w:pPr>
        <w:spacing w:after="0" w:line="276" w:lineRule="auto"/>
        <w:ind w:left="-15" w:right="-13" w:firstLine="698"/>
        <w:rPr>
          <w:rFonts w:eastAsia="Verdana"/>
          <w:szCs w:val="28"/>
        </w:rPr>
      </w:pPr>
      <w:r w:rsidRPr="00535010">
        <w:rPr>
          <w:rFonts w:eastAsia="Verdana"/>
          <w:szCs w:val="28"/>
        </w:rPr>
        <w:t xml:space="preserve">Et c'est aussi ce qu'on peut entendre dans les discours, plus contemporains, de Freinet ou de Montessori : le même souci de proposer des méthodes et des attitudes éducatives qui permettent à l'enfant de grandir librement pour mieux s'associer à ses semblables dans </w:t>
      </w:r>
      <w:r w:rsidR="00450C6D" w:rsidRPr="00535010">
        <w:rPr>
          <w:rFonts w:eastAsia="Verdana"/>
          <w:szCs w:val="28"/>
        </w:rPr>
        <w:t>une relation nouvelle</w:t>
      </w:r>
      <w:r w:rsidRPr="00535010">
        <w:rPr>
          <w:rFonts w:eastAsia="Verdana"/>
          <w:szCs w:val="28"/>
        </w:rPr>
        <w:t xml:space="preserve"> où la violence et l'arbitraire ne régiraient plus les rapports entre les hommes. Ces </w:t>
      </w:r>
      <w:r w:rsidR="00450C6D" w:rsidRPr="00535010">
        <w:rPr>
          <w:rFonts w:eastAsia="Verdana"/>
          <w:szCs w:val="28"/>
        </w:rPr>
        <w:t>discours-là</w:t>
      </w:r>
      <w:r w:rsidRPr="00535010">
        <w:rPr>
          <w:rFonts w:eastAsia="Verdana"/>
          <w:szCs w:val="28"/>
        </w:rPr>
        <w:t xml:space="preserve"> sont, d'ailleurs, très largement, des discours convenus, souvent généraux et généreux, perçus par bien des intellectuels contemporains comme particulièrement naïfs plein de "bons sentiments", voire de "bonnes intentions" dont on dit que "l'enfer en est toujours pavé". Ce ne sont pas, de toute évidence, des "discours scientifiques", mais, bien plutôt, des discours "littéraires", des textes qui font souvent appel à l'émotion, qui diabolisent ce qu'ils nomment les "méthodes traditionnelles", des discours qui fonctionnent un peu sur le registre de l'épopée et qui tentent d'emporter l'adhésion du lecteur afin que, comme l'auteur, il finisse par trouver insupportable "l'injustice faite à l'enfance" et se lève avec lui pour la combattre.</w:t>
      </w:r>
    </w:p>
    <w:p w:rsidR="00535010" w:rsidRPr="00535010" w:rsidRDefault="00535010" w:rsidP="00C70AD9">
      <w:pPr>
        <w:spacing w:after="0" w:line="276" w:lineRule="auto"/>
        <w:ind w:left="-15" w:right="-13" w:firstLine="698"/>
        <w:rPr>
          <w:rFonts w:eastAsia="Verdana"/>
          <w:szCs w:val="28"/>
        </w:rPr>
      </w:pPr>
      <w:r w:rsidRPr="00535010">
        <w:rPr>
          <w:rFonts w:eastAsia="Verdana"/>
          <w:szCs w:val="28"/>
        </w:rPr>
        <w:t xml:space="preserve">Bien sûr, ces pédagogues proposent des </w:t>
      </w:r>
      <w:r w:rsidRPr="00535010">
        <w:rPr>
          <w:rFonts w:eastAsia="Verdana"/>
          <w:b/>
          <w:bCs/>
          <w:szCs w:val="28"/>
        </w:rPr>
        <w:t>outils</w:t>
      </w:r>
      <w:r w:rsidRPr="00535010">
        <w:rPr>
          <w:rFonts w:eastAsia="Verdana"/>
          <w:szCs w:val="28"/>
        </w:rPr>
        <w:t>, inventent du "</w:t>
      </w:r>
      <w:r w:rsidRPr="00535010">
        <w:rPr>
          <w:rFonts w:eastAsia="Verdana"/>
          <w:i/>
          <w:iCs/>
          <w:szCs w:val="28"/>
        </w:rPr>
        <w:t>matériel pédagogique</w:t>
      </w:r>
      <w:r w:rsidRPr="00535010">
        <w:rPr>
          <w:rFonts w:eastAsia="Verdana"/>
          <w:szCs w:val="28"/>
        </w:rPr>
        <w:t xml:space="preserve">", mais ils le font toujours dans une </w:t>
      </w:r>
      <w:r w:rsidRPr="00535010">
        <w:rPr>
          <w:rFonts w:eastAsia="Verdana"/>
          <w:b/>
          <w:bCs/>
          <w:szCs w:val="28"/>
        </w:rPr>
        <w:t>perspective globale</w:t>
      </w:r>
      <w:r w:rsidRPr="00535010">
        <w:rPr>
          <w:rFonts w:eastAsia="Verdana"/>
          <w:szCs w:val="28"/>
        </w:rPr>
        <w:t xml:space="preserve"> et leurs outils ne sont pas de simples technologies, ce sont des moyens au service d'une fin qu'ils ne cessent de rappeler et dont ils montrent toujours qu'elle doit s'incarner dans des attitudes profondes de l'éducateur sans lesquelles ces outils ne seraient que des coquilles vides ou, pire, de dangereux instruments de dressage.</w:t>
      </w:r>
    </w:p>
    <w:p w:rsidR="00535010" w:rsidRPr="00535010" w:rsidRDefault="00535010" w:rsidP="00C70AD9">
      <w:pPr>
        <w:spacing w:after="0" w:line="276" w:lineRule="auto"/>
        <w:ind w:left="-15" w:right="-13" w:firstLine="698"/>
        <w:rPr>
          <w:rFonts w:eastAsia="Verdana"/>
          <w:szCs w:val="28"/>
        </w:rPr>
      </w:pPr>
      <w:r w:rsidRPr="00535010">
        <w:rPr>
          <w:rFonts w:eastAsia="Verdana"/>
          <w:szCs w:val="28"/>
        </w:rPr>
        <w:t>Si l'on tente, d'ailleurs, d'étudier les "</w:t>
      </w:r>
      <w:r w:rsidRPr="00535010">
        <w:rPr>
          <w:rFonts w:eastAsia="Verdana"/>
          <w:b/>
          <w:bCs/>
          <w:szCs w:val="28"/>
        </w:rPr>
        <w:t>systèmes pédagogiques</w:t>
      </w:r>
      <w:r w:rsidRPr="00535010">
        <w:rPr>
          <w:rFonts w:eastAsia="Verdana"/>
          <w:szCs w:val="28"/>
        </w:rPr>
        <w:t xml:space="preserve">" qu'ils proposent, on observe qu'il s'agit de sortes d'architectures étranges "théorico-pratiques", articulant toujours, plus ou moins explicitement, trois pôles : </w:t>
      </w:r>
      <w:r w:rsidRPr="00535010">
        <w:rPr>
          <w:rFonts w:eastAsia="Verdana"/>
          <w:i/>
          <w:szCs w:val="28"/>
        </w:rPr>
        <w:t>un pôle des finalités</w:t>
      </w:r>
      <w:r w:rsidRPr="00535010">
        <w:rPr>
          <w:rFonts w:eastAsia="Verdana"/>
          <w:szCs w:val="28"/>
        </w:rPr>
        <w:t xml:space="preserve"> - qui renvoie à un </w:t>
      </w:r>
      <w:r w:rsidRPr="00535010">
        <w:rPr>
          <w:rFonts w:eastAsia="Verdana"/>
          <w:i/>
          <w:iCs/>
          <w:szCs w:val="28"/>
        </w:rPr>
        <w:t>projet général d'éducation</w:t>
      </w:r>
      <w:r w:rsidRPr="00535010">
        <w:rPr>
          <w:rFonts w:eastAsia="Verdana"/>
          <w:szCs w:val="28"/>
        </w:rPr>
        <w:t>, à une image de l'</w:t>
      </w:r>
      <w:r w:rsidR="00FE2441">
        <w:rPr>
          <w:rFonts w:eastAsia="Verdana"/>
          <w:szCs w:val="28"/>
        </w:rPr>
        <w:t xml:space="preserve"> </w:t>
      </w:r>
      <w:r w:rsidRPr="00535010">
        <w:rPr>
          <w:rFonts w:eastAsia="Verdana"/>
          <w:szCs w:val="28"/>
        </w:rPr>
        <w:t>"</w:t>
      </w:r>
      <w:r w:rsidRPr="00535010">
        <w:rPr>
          <w:rFonts w:eastAsia="Verdana"/>
          <w:b/>
          <w:bCs/>
          <w:szCs w:val="28"/>
        </w:rPr>
        <w:t>homme idéal</w:t>
      </w:r>
      <w:r w:rsidRPr="00535010">
        <w:rPr>
          <w:rFonts w:eastAsia="Verdana"/>
          <w:szCs w:val="28"/>
        </w:rPr>
        <w:t>", de la société "</w:t>
      </w:r>
      <w:r w:rsidRPr="00535010">
        <w:rPr>
          <w:rFonts w:eastAsia="Verdana"/>
          <w:b/>
          <w:bCs/>
          <w:szCs w:val="28"/>
        </w:rPr>
        <w:t>parfaite</w:t>
      </w:r>
      <w:r w:rsidRPr="00535010">
        <w:rPr>
          <w:rFonts w:eastAsia="Verdana"/>
          <w:szCs w:val="28"/>
        </w:rPr>
        <w:t xml:space="preserve">" - </w:t>
      </w:r>
      <w:r w:rsidRPr="00535010">
        <w:rPr>
          <w:rFonts w:eastAsia="Verdana"/>
          <w:i/>
          <w:szCs w:val="28"/>
        </w:rPr>
        <w:t>un pôle des étayages "</w:t>
      </w:r>
      <w:r w:rsidRPr="00535010">
        <w:rPr>
          <w:rFonts w:eastAsia="Verdana"/>
          <w:b/>
          <w:bCs/>
          <w:i/>
          <w:szCs w:val="28"/>
        </w:rPr>
        <w:t>objectifs</w:t>
      </w:r>
      <w:r w:rsidRPr="00535010">
        <w:rPr>
          <w:rFonts w:eastAsia="Verdana"/>
          <w:i/>
          <w:szCs w:val="28"/>
        </w:rPr>
        <w:t>"</w:t>
      </w:r>
      <w:r w:rsidRPr="00535010">
        <w:rPr>
          <w:rFonts w:eastAsia="Verdana"/>
          <w:szCs w:val="28"/>
        </w:rPr>
        <w:t xml:space="preserve"> - qui renvoie à un ensemble de données, souvent hétéroclites, empruntées aux sciences humaines (à la psychologie en particulier) - et, enfin, </w:t>
      </w:r>
      <w:r w:rsidRPr="00535010">
        <w:rPr>
          <w:rFonts w:eastAsia="Verdana"/>
          <w:i/>
          <w:szCs w:val="28"/>
        </w:rPr>
        <w:t>un pôle des "instruments"</w:t>
      </w:r>
      <w:r w:rsidRPr="00535010">
        <w:rPr>
          <w:rFonts w:eastAsia="Verdana"/>
          <w:szCs w:val="28"/>
        </w:rPr>
        <w:t xml:space="preserve"> qui propose des outils et prescrit des méthodes</w:t>
      </w:r>
      <w:r w:rsidRPr="00535010">
        <w:rPr>
          <w:rFonts w:eastAsia="Verdana"/>
          <w:szCs w:val="28"/>
          <w:vertAlign w:val="superscript"/>
        </w:rPr>
        <w:footnoteReference w:id="2"/>
      </w:r>
      <w:r w:rsidRPr="00535010">
        <w:rPr>
          <w:rFonts w:eastAsia="Verdana"/>
          <w:szCs w:val="28"/>
        </w:rPr>
        <w:t xml:space="preserve">. Cet aspect composite donne, de toute évidence, un aspect un peu curieux aux doctrines pédagogiques : elles échappent à la philosophie pure (en tant que celle-ci se définit comme quête d'une vérité fondant une "sagesse"), comme aux recherches scientifiques "dures" (qui s'intéressent tout particulièrement à l'administration de la </w:t>
      </w:r>
      <w:r w:rsidR="003C1BBA" w:rsidRPr="00535010">
        <w:rPr>
          <w:rFonts w:eastAsia="Verdana"/>
          <w:szCs w:val="28"/>
        </w:rPr>
        <w:t>preuve) ...</w:t>
      </w:r>
      <w:r w:rsidRPr="00535010">
        <w:rPr>
          <w:rFonts w:eastAsia="Verdana"/>
          <w:szCs w:val="28"/>
        </w:rPr>
        <w:t xml:space="preserve"> Elles ne sont </w:t>
      </w:r>
      <w:r w:rsidRPr="00535010">
        <w:rPr>
          <w:rFonts w:eastAsia="Verdana"/>
          <w:szCs w:val="28"/>
        </w:rPr>
        <w:lastRenderedPageBreak/>
        <w:t>pas, non plus, de simples "recettes" qui permettraient d'agir "à coup sûr"... et, sur le plan littéraire, ne sont guère - à quelques exceptions près - de grandes réussites esthétiques : le caractère composite du discours leur donne un statut de "vérités moyennes", appartenant plutôt à une rhétorique spécifique qui pourrait être définie comme celle de la "conviction pondérée"</w:t>
      </w:r>
      <w:r w:rsidRPr="00535010">
        <w:rPr>
          <w:rFonts w:eastAsia="Verdana"/>
          <w:szCs w:val="28"/>
          <w:vertAlign w:val="superscript"/>
        </w:rPr>
        <w:footnoteReference w:id="3"/>
      </w:r>
      <w:r w:rsidRPr="00535010">
        <w:rPr>
          <w:rFonts w:eastAsia="Verdana"/>
          <w:szCs w:val="28"/>
        </w:rPr>
        <w:t>.</w:t>
      </w:r>
    </w:p>
    <w:p w:rsidR="00535010" w:rsidRPr="00881CFF" w:rsidRDefault="00535010" w:rsidP="0008137B">
      <w:pPr>
        <w:pStyle w:val="Paragraphedeliste"/>
        <w:numPr>
          <w:ilvl w:val="0"/>
          <w:numId w:val="8"/>
        </w:numPr>
        <w:spacing w:after="109" w:line="276" w:lineRule="auto"/>
        <w:ind w:left="284" w:hanging="284"/>
        <w:jc w:val="left"/>
        <w:rPr>
          <w:rFonts w:eastAsia="Verdana"/>
          <w:szCs w:val="28"/>
        </w:rPr>
      </w:pPr>
      <w:r w:rsidRPr="00881CFF">
        <w:rPr>
          <w:rFonts w:eastAsia="Verdana"/>
          <w:b/>
          <w:szCs w:val="28"/>
        </w:rPr>
        <w:t>L'émergence des sciences de l'éducation marque-t-elle la mort de la pédagogie ?</w:t>
      </w:r>
    </w:p>
    <w:p w:rsidR="00535010" w:rsidRPr="00535010" w:rsidRDefault="00535010" w:rsidP="0008137B">
      <w:pPr>
        <w:spacing w:after="180" w:line="276" w:lineRule="auto"/>
        <w:ind w:firstLine="0"/>
        <w:rPr>
          <w:rFonts w:eastAsia="Verdana"/>
          <w:szCs w:val="28"/>
        </w:rPr>
      </w:pPr>
      <w:r w:rsidRPr="00535010">
        <w:rPr>
          <w:rFonts w:eastAsia="Verdana"/>
          <w:szCs w:val="28"/>
        </w:rPr>
        <w:t xml:space="preserve">En ce qui les concerne, les sciences de l'éducation ont fait l'objet d'une institutionnalisation universitaire relativement récente et, au moment où elles ont été reconnues, certains, comme </w:t>
      </w:r>
      <w:r w:rsidRPr="00535010">
        <w:rPr>
          <w:rFonts w:eastAsia="Verdana"/>
          <w:b/>
          <w:bCs/>
          <w:szCs w:val="28"/>
        </w:rPr>
        <w:t>Gilles Ferry</w:t>
      </w:r>
      <w:r w:rsidRPr="00535010">
        <w:rPr>
          <w:rFonts w:eastAsia="Verdana"/>
          <w:szCs w:val="28"/>
        </w:rPr>
        <w:t xml:space="preserve">, dans un article retentissant de 1967, n'ont pas manqué d'affirmer qu'elles marquaient la "mort de la pédagogie": </w:t>
      </w:r>
      <w:r w:rsidRPr="00535010">
        <w:rPr>
          <w:rFonts w:eastAsia="Verdana"/>
          <w:i/>
          <w:szCs w:val="28"/>
        </w:rPr>
        <w:t>"La substitution des "sciences de l'éducation" à la "pédagogie", si elle n'est</w:t>
      </w:r>
      <w:r w:rsidRPr="00535010">
        <w:rPr>
          <w:rFonts w:eastAsia="Verdana"/>
          <w:szCs w:val="28"/>
        </w:rPr>
        <w:t xml:space="preserve"> </w:t>
      </w:r>
      <w:r w:rsidRPr="00535010">
        <w:rPr>
          <w:rFonts w:eastAsia="Verdana"/>
          <w:i/>
          <w:szCs w:val="28"/>
        </w:rPr>
        <w:t>pas une concession purement formelle au</w:t>
      </w:r>
      <w:r w:rsidRPr="00535010">
        <w:rPr>
          <w:rFonts w:eastAsia="Verdana"/>
          <w:szCs w:val="28"/>
        </w:rPr>
        <w:t xml:space="preserve"> </w:t>
      </w:r>
      <w:r w:rsidRPr="00535010">
        <w:rPr>
          <w:rFonts w:eastAsia="Verdana"/>
          <w:i/>
          <w:szCs w:val="28"/>
        </w:rPr>
        <w:t>langage anglo-saxon, signifie, tout à</w:t>
      </w:r>
      <w:r w:rsidRPr="00535010">
        <w:rPr>
          <w:rFonts w:eastAsia="Verdana"/>
          <w:szCs w:val="28"/>
        </w:rPr>
        <w:t xml:space="preserve"> </w:t>
      </w:r>
      <w:r w:rsidRPr="00535010">
        <w:rPr>
          <w:rFonts w:eastAsia="Verdana"/>
          <w:i/>
          <w:szCs w:val="28"/>
        </w:rPr>
        <w:t>la fois, l'abandon de spéculations normatives au profit d'études positives et, à l'intérieur des sciences humaines, la délimitation et</w:t>
      </w:r>
      <w:r w:rsidRPr="00535010">
        <w:rPr>
          <w:rFonts w:eastAsia="Verdana"/>
          <w:szCs w:val="28"/>
        </w:rPr>
        <w:t xml:space="preserve"> </w:t>
      </w:r>
      <w:r w:rsidRPr="00535010">
        <w:rPr>
          <w:rFonts w:eastAsia="Verdana"/>
          <w:i/>
          <w:szCs w:val="28"/>
        </w:rPr>
        <w:t>l'organisation d'un champ de recherches orientées vers la compréhension du fait éducatif. "</w:t>
      </w:r>
      <w:r w:rsidRPr="00535010">
        <w:rPr>
          <w:rFonts w:eastAsia="Verdana"/>
          <w:i/>
          <w:szCs w:val="28"/>
          <w:vertAlign w:val="superscript"/>
        </w:rPr>
        <w:footnoteReference w:id="4"/>
      </w:r>
    </w:p>
    <w:p w:rsidR="00535010" w:rsidRPr="00535010" w:rsidRDefault="00535010" w:rsidP="007361F5">
      <w:pPr>
        <w:spacing w:after="119" w:line="276" w:lineRule="auto"/>
        <w:ind w:left="-15" w:right="-13" w:firstLine="0"/>
        <w:rPr>
          <w:rFonts w:eastAsia="Verdana"/>
          <w:szCs w:val="28"/>
        </w:rPr>
      </w:pPr>
      <w:r w:rsidRPr="00535010">
        <w:rPr>
          <w:rFonts w:eastAsia="Verdana"/>
          <w:szCs w:val="28"/>
        </w:rPr>
        <w:t xml:space="preserve">On pensait, en effet, à l'époque, dans le sillage des grands psychologues du début du siècle, qu'il allait, enfin, être possible de substituer à un discours général et généreux sur l'éducation, un véritable "discours scientifique". Dans un premier temps, on considéra que ce discours devait s'appuyer exclusivement sur la psychologie qui, en nous livrant les clés de la connaissance du développement des enfants, nous permettait de savoir exactement ce qu'il convenait de faire pour bien les élever. Ce fut l'époque de la "psychopédagogie" dominante que certains considéraient comme "la" science de l'éducation. Déjà Ferdinand Buisson, l'auteur du fameux "Dictionnaire", avait affirmé: </w:t>
      </w:r>
      <w:r w:rsidRPr="00535010">
        <w:rPr>
          <w:rFonts w:eastAsia="Verdana"/>
          <w:i/>
          <w:szCs w:val="28"/>
        </w:rPr>
        <w:t>"Je n'hésiterais pas à</w:t>
      </w:r>
      <w:r w:rsidRPr="00535010">
        <w:rPr>
          <w:rFonts w:eastAsia="Verdana"/>
          <w:szCs w:val="28"/>
        </w:rPr>
        <w:t xml:space="preserve"> </w:t>
      </w:r>
      <w:r w:rsidRPr="00535010">
        <w:rPr>
          <w:rFonts w:eastAsia="Verdana"/>
          <w:i/>
          <w:szCs w:val="28"/>
        </w:rPr>
        <w:t>définir la pédagogie simplement : la science de l'éducation"</w:t>
      </w:r>
      <w:r w:rsidRPr="00535010">
        <w:rPr>
          <w:rFonts w:eastAsia="Verdana"/>
          <w:i/>
          <w:szCs w:val="28"/>
          <w:vertAlign w:val="superscript"/>
        </w:rPr>
        <w:footnoteReference w:id="5"/>
      </w:r>
      <w:r w:rsidRPr="00535010">
        <w:rPr>
          <w:rFonts w:eastAsia="Verdana"/>
          <w:i/>
          <w:szCs w:val="28"/>
        </w:rPr>
        <w:t xml:space="preserve">. </w:t>
      </w:r>
      <w:r w:rsidRPr="00535010">
        <w:rPr>
          <w:rFonts w:eastAsia="Verdana"/>
          <w:szCs w:val="28"/>
        </w:rPr>
        <w:t xml:space="preserve">Après lui et comme lui, bien d'autres ont rêvé de "fonder" en vérité une "science de l'éducation" : c'est ainsi que certains, comme Binet, Claparède ou Bouchet ont pu parler de "pédagogie scientifique", d'autres, comme Dottrens, de "pédagogie expérimentale", d'autres encore, comme Debesse, ont pu évoquer la constitution d'une véritable "science pédagogique". Tous caressaient le désir de dégager l'éducation des aléas de </w:t>
      </w:r>
      <w:r w:rsidRPr="00535010">
        <w:rPr>
          <w:rFonts w:eastAsia="Verdana"/>
          <w:szCs w:val="28"/>
        </w:rPr>
        <w:lastRenderedPageBreak/>
        <w:t>l'incertitude, des tâtonnements des éducateurs, des méthodes aléatoires et des débats idéologiques "stériles" pour établir ce qu'il convenait absolument de faire, "en vérité", pour bien "élever les enfants".</w:t>
      </w:r>
    </w:p>
    <w:p w:rsidR="00535010" w:rsidRPr="00535010" w:rsidRDefault="00535010" w:rsidP="007361F5">
      <w:pPr>
        <w:spacing w:after="0" w:line="276" w:lineRule="auto"/>
        <w:ind w:left="-15" w:right="-13" w:firstLine="0"/>
        <w:rPr>
          <w:rFonts w:eastAsia="Verdana"/>
          <w:szCs w:val="28"/>
        </w:rPr>
      </w:pPr>
      <w:r w:rsidRPr="00535010">
        <w:rPr>
          <w:rFonts w:eastAsia="Verdana"/>
          <w:szCs w:val="28"/>
        </w:rPr>
        <w:t>On s'aperçut cependant très vite qu'à elle seule la psychologie ne permettait pas de comprendre l'ensemble des éléments qui entrent en ligne de compte dans le développement de l'enfant : on découvrit l'importance de la sociologie, de l'anthropologie, de la linguistique, de l'économie ou de l'histoire. Les départements de "sciences de l'éducation" furent donc créés, entre 1967 et 1970, avec comme perspective de réunir autour d'un objet de travail commun - l'éducation - des spécialistes émanant de différentes disciplines scientifiques déjà constituées. Les recherches menées dans ces départements devaient permettre une approche plurielle et plus complète des réalités éducatives, grâce à la collaboration des chercheurs et à la formation pluridisciplinaire acquise par certains d'entre eux. Ces recherches devaient se soumettre normalement à l'administration de la preuve, garante de leur scientificité.</w:t>
      </w:r>
    </w:p>
    <w:p w:rsidR="007361F5" w:rsidRPr="007361F5" w:rsidRDefault="00535010" w:rsidP="0008137B">
      <w:pPr>
        <w:pStyle w:val="Paragraphedeliste"/>
        <w:numPr>
          <w:ilvl w:val="0"/>
          <w:numId w:val="8"/>
        </w:numPr>
        <w:spacing w:after="0" w:line="276" w:lineRule="auto"/>
        <w:ind w:left="284" w:hanging="284"/>
        <w:jc w:val="left"/>
        <w:rPr>
          <w:rFonts w:eastAsia="Verdana"/>
          <w:iCs/>
          <w:szCs w:val="28"/>
        </w:rPr>
      </w:pPr>
      <w:r w:rsidRPr="00A7553D">
        <w:rPr>
          <w:rFonts w:eastAsia="Verdana"/>
          <w:b/>
          <w:iCs/>
          <w:szCs w:val="28"/>
        </w:rPr>
        <w:t>Les sciences ont-elles le monop</w:t>
      </w:r>
      <w:r w:rsidR="007361F5">
        <w:rPr>
          <w:rFonts w:eastAsia="Verdana"/>
          <w:b/>
          <w:iCs/>
          <w:szCs w:val="28"/>
        </w:rPr>
        <w:t>ole de l'élaboration des outils</w:t>
      </w:r>
    </w:p>
    <w:p w:rsidR="00535010" w:rsidRPr="007361F5" w:rsidRDefault="00535010" w:rsidP="007361F5">
      <w:pPr>
        <w:spacing w:after="0" w:line="276" w:lineRule="auto"/>
        <w:ind w:firstLine="0"/>
        <w:jc w:val="left"/>
        <w:rPr>
          <w:rFonts w:eastAsia="Verdana"/>
          <w:iCs/>
          <w:szCs w:val="28"/>
        </w:rPr>
      </w:pPr>
      <w:r w:rsidRPr="007361F5">
        <w:rPr>
          <w:rFonts w:eastAsia="Verdana"/>
          <w:b/>
          <w:iCs/>
          <w:szCs w:val="28"/>
        </w:rPr>
        <w:t>d'intelligibilité de la « chose éducative » ?</w:t>
      </w:r>
    </w:p>
    <w:p w:rsidR="00535010" w:rsidRPr="00535010" w:rsidRDefault="00535010" w:rsidP="0008137B">
      <w:pPr>
        <w:spacing w:after="0" w:line="276" w:lineRule="auto"/>
        <w:ind w:left="-15" w:right="-13" w:firstLine="0"/>
        <w:rPr>
          <w:rFonts w:eastAsia="Verdana"/>
          <w:szCs w:val="28"/>
        </w:rPr>
      </w:pPr>
      <w:r w:rsidRPr="00535010">
        <w:rPr>
          <w:rFonts w:eastAsia="Verdana"/>
          <w:szCs w:val="28"/>
        </w:rPr>
        <w:t>La pédagogie n'a-t-elle plus alors droit de cité ? Si on l'affirmait, cela voudrait dire que l'on ne reconnaît qu'à la "science", voire aux "sciences expérimentales", le droit de nous fournir des outils d'intelligibilité du monde et des hommes. Mais est-ce vraiment possible ? Ne doit-on pas accepter l'idée que Rimbaud nous ouvre le monde autant que Newton, Saint-John Perse autant que Durkheim, Picasso autant qu'Heisenberg et Mozart autant que Freud ? Si, sans aucun doute, et chacun en conviendra.</w:t>
      </w:r>
    </w:p>
    <w:p w:rsidR="00535010" w:rsidRPr="00535010" w:rsidRDefault="00535010" w:rsidP="0008137B">
      <w:pPr>
        <w:spacing w:after="0" w:line="276" w:lineRule="auto"/>
        <w:ind w:left="-15" w:right="-13" w:firstLine="0"/>
        <w:rPr>
          <w:rFonts w:eastAsia="Verdana"/>
          <w:szCs w:val="28"/>
        </w:rPr>
      </w:pPr>
      <w:r w:rsidRPr="00535010">
        <w:rPr>
          <w:rFonts w:eastAsia="Verdana"/>
          <w:szCs w:val="28"/>
        </w:rPr>
        <w:t xml:space="preserve">Mais les textes pédagogiques n'ont rien de la hauteur de vue, de la qualité d'inspiration, de la force esthétique des grandes </w:t>
      </w:r>
      <w:r w:rsidR="00AC75DB" w:rsidRPr="00535010">
        <w:rPr>
          <w:rFonts w:eastAsia="Verdana"/>
          <w:szCs w:val="28"/>
        </w:rPr>
        <w:t>œuvres</w:t>
      </w:r>
      <w:r w:rsidRPr="00535010">
        <w:rPr>
          <w:rFonts w:eastAsia="Verdana"/>
          <w:szCs w:val="28"/>
        </w:rPr>
        <w:t xml:space="preserve"> artistiques. A vrai dire, et sous bien des aspects, ils sont "médiocres" Faut-il, pour autant les abandonner ou les vouer aux gémonies ? Ce serait, à mes yeux, une grave erreur.</w:t>
      </w:r>
    </w:p>
    <w:p w:rsidR="00535010" w:rsidRPr="00535010" w:rsidRDefault="00535010" w:rsidP="0008137B">
      <w:pPr>
        <w:spacing w:after="0" w:line="276" w:lineRule="auto"/>
        <w:ind w:left="-15" w:right="-13" w:firstLine="0"/>
        <w:rPr>
          <w:rFonts w:eastAsia="Verdana"/>
          <w:szCs w:val="28"/>
        </w:rPr>
      </w:pPr>
      <w:r w:rsidRPr="00535010">
        <w:rPr>
          <w:rFonts w:eastAsia="Verdana"/>
          <w:szCs w:val="28"/>
        </w:rPr>
        <w:t xml:space="preserve">Car la pédagogie, en tant que "discours littéraire", ou, mieux, en tant que "rhétorique des vérités éducatives moyennes", comme le dit Daniel Hameline, nous apporte indiscutablement des outils pour une compréhension active de la chose éducative : elle nous renvoie nos contradictions à l'égard de nos enfants et de nos </w:t>
      </w:r>
      <w:r w:rsidR="00AD1C62">
        <w:rPr>
          <w:rFonts w:eastAsia="Verdana"/>
          <w:szCs w:val="28"/>
        </w:rPr>
        <w:t>apprenants</w:t>
      </w:r>
      <w:r w:rsidRPr="00535010">
        <w:rPr>
          <w:rFonts w:eastAsia="Verdana"/>
          <w:szCs w:val="28"/>
        </w:rPr>
        <w:t>, et d'abord cette contradiction sans cesse réinstaurée entre nos théories et nos pratiques ; elle nous permet de vivre de manière moins solitaire et avec plus de lucidité ce "métier impossible" dont, précisément, parlait Freud pour désigner l'éducation ?</w:t>
      </w:r>
    </w:p>
    <w:p w:rsidR="00535010" w:rsidRPr="00535010" w:rsidRDefault="00535010" w:rsidP="0034623A">
      <w:pPr>
        <w:spacing w:after="0" w:line="276" w:lineRule="auto"/>
        <w:ind w:left="-15" w:right="-13" w:firstLine="0"/>
        <w:rPr>
          <w:rFonts w:eastAsia="Verdana"/>
          <w:szCs w:val="28"/>
        </w:rPr>
      </w:pPr>
      <w:r w:rsidRPr="00535010">
        <w:rPr>
          <w:rFonts w:eastAsia="Verdana"/>
          <w:szCs w:val="28"/>
        </w:rPr>
        <w:lastRenderedPageBreak/>
        <w:t xml:space="preserve">Les doctrines pédagogiques trouvent ainsi leur valeur, paradoxalement, dans leur fragilité, leur caractère de bricolage obstiné, leur volonté de penser </w:t>
      </w:r>
      <w:r w:rsidRPr="00535010">
        <w:rPr>
          <w:rFonts w:eastAsia="Verdana"/>
          <w:i/>
          <w:szCs w:val="28"/>
        </w:rPr>
        <w:t>ensemble</w:t>
      </w:r>
      <w:r w:rsidRPr="00535010">
        <w:rPr>
          <w:rFonts w:eastAsia="Verdana"/>
          <w:szCs w:val="28"/>
        </w:rPr>
        <w:t xml:space="preserve"> des dimensions qui, généralement, sont pensées dans des champs différents sans connexion entre elles. Et, alors que cet aspect composite et étrange pourrait légitimement apparaître comme un handicap au regard des beaux discours homogènes produits par ailleurs, il devient ici un atout majeur : il noue, dans une complexité assumée, des réalités avec lesquelles l'éducateur doit composer </w:t>
      </w:r>
      <w:r w:rsidRPr="00535010">
        <w:rPr>
          <w:rFonts w:eastAsia="Verdana"/>
          <w:i/>
          <w:szCs w:val="28"/>
        </w:rPr>
        <w:t>simultanément</w:t>
      </w:r>
      <w:r w:rsidRPr="00535010">
        <w:rPr>
          <w:rFonts w:eastAsia="Verdana"/>
          <w:szCs w:val="28"/>
        </w:rPr>
        <w:t xml:space="preserve"> dans l'action.</w:t>
      </w:r>
    </w:p>
    <w:p w:rsidR="00666DE8" w:rsidRPr="0051346F" w:rsidRDefault="00666DE8" w:rsidP="0008137B">
      <w:pPr>
        <w:pStyle w:val="Paragraphedeliste"/>
        <w:numPr>
          <w:ilvl w:val="0"/>
          <w:numId w:val="8"/>
        </w:numPr>
        <w:shd w:val="clear" w:color="auto" w:fill="FFFFFF"/>
        <w:spacing w:before="100" w:beforeAutospacing="1" w:after="0" w:line="276" w:lineRule="auto"/>
        <w:ind w:left="284" w:hanging="284"/>
        <w:jc w:val="left"/>
        <w:rPr>
          <w:b/>
          <w:bCs/>
          <w:color w:val="auto"/>
          <w:szCs w:val="28"/>
        </w:rPr>
      </w:pPr>
      <w:r w:rsidRPr="0051346F">
        <w:rPr>
          <w:b/>
          <w:bCs/>
          <w:color w:val="auto"/>
          <w:szCs w:val="28"/>
        </w:rPr>
        <w:t>Naissance d'une discipline universitaire</w:t>
      </w:r>
    </w:p>
    <w:p w:rsidR="00152D12" w:rsidRPr="006F225C" w:rsidRDefault="00666DE8" w:rsidP="0008137B">
      <w:pPr>
        <w:shd w:val="clear" w:color="auto" w:fill="FFFFFF"/>
        <w:spacing w:before="120" w:after="0" w:line="276" w:lineRule="auto"/>
        <w:ind w:firstLine="0"/>
        <w:jc w:val="left"/>
        <w:rPr>
          <w:color w:val="auto"/>
          <w:szCs w:val="28"/>
        </w:rPr>
      </w:pPr>
      <w:r w:rsidRPr="006F225C">
        <w:rPr>
          <w:color w:val="auto"/>
          <w:szCs w:val="28"/>
        </w:rPr>
        <w:t>La municipalité de Bordeaux crée le premier cours universitaire de pédagogie dans une Faculté de Lettres, en 1882. Il faudra attendre 1883, où</w:t>
      </w:r>
      <w:r w:rsidR="000C05A3">
        <w:rPr>
          <w:color w:val="auto"/>
          <w:szCs w:val="28"/>
        </w:rPr>
        <w:t xml:space="preserve">   </w:t>
      </w:r>
      <w:r w:rsidR="000C05A3" w:rsidRPr="000C05A3">
        <w:rPr>
          <w:b/>
          <w:bCs/>
          <w:color w:val="auto"/>
          <w:szCs w:val="28"/>
        </w:rPr>
        <w:t>Jules</w:t>
      </w:r>
      <w:r w:rsidR="004F53EE">
        <w:rPr>
          <w:color w:val="auto"/>
          <w:szCs w:val="28"/>
        </w:rPr>
        <w:t xml:space="preserve">. </w:t>
      </w:r>
      <w:r w:rsidR="000C05A3" w:rsidRPr="000C05A3">
        <w:rPr>
          <w:b/>
          <w:bCs/>
          <w:color w:val="auto"/>
          <w:szCs w:val="28"/>
        </w:rPr>
        <w:t>FERRY</w:t>
      </w:r>
      <w:r w:rsidR="000C05A3">
        <w:rPr>
          <w:color w:val="auto"/>
          <w:szCs w:val="28"/>
        </w:rPr>
        <w:t xml:space="preserve"> </w:t>
      </w:r>
      <w:r w:rsidRPr="006F225C">
        <w:rPr>
          <w:color w:val="auto"/>
          <w:szCs w:val="28"/>
        </w:rPr>
        <w:t> </w:t>
      </w:r>
      <w:hyperlink r:id="rId12" w:tooltip="Jules Ferry" w:history="1"/>
      <w:r w:rsidRPr="006F225C">
        <w:rPr>
          <w:b/>
          <w:bCs/>
          <w:color w:val="auto"/>
          <w:szCs w:val="28"/>
        </w:rPr>
        <w:t> </w:t>
      </w:r>
      <w:r w:rsidRPr="006F225C">
        <w:rPr>
          <w:color w:val="auto"/>
          <w:szCs w:val="28"/>
        </w:rPr>
        <w:t>crée un cours de science de l'éducation à la</w:t>
      </w:r>
      <w:r w:rsidR="00073E08">
        <w:rPr>
          <w:color w:val="auto"/>
          <w:szCs w:val="28"/>
        </w:rPr>
        <w:t xml:space="preserve"> </w:t>
      </w:r>
      <w:r w:rsidR="00073E08" w:rsidRPr="00073E08">
        <w:rPr>
          <w:b/>
          <w:bCs/>
          <w:color w:val="auto"/>
          <w:szCs w:val="28"/>
          <w:u w:val="single"/>
        </w:rPr>
        <w:t>S</w:t>
      </w:r>
      <w:r w:rsidR="00073E08" w:rsidRPr="00073E08">
        <w:rPr>
          <w:color w:val="auto"/>
          <w:szCs w:val="28"/>
          <w:u w:val="single"/>
        </w:rPr>
        <w:t>orbo</w:t>
      </w:r>
      <w:r w:rsidR="00073E08">
        <w:rPr>
          <w:color w:val="auto"/>
          <w:szCs w:val="28"/>
          <w:u w:val="single"/>
        </w:rPr>
        <w:t>nne</w:t>
      </w:r>
      <w:r w:rsidRPr="006F225C">
        <w:rPr>
          <w:color w:val="auto"/>
          <w:szCs w:val="28"/>
        </w:rPr>
        <w:t>. La première chaire de pédagogie est créée à la Sorbonne. Elle est notamment occupée par </w:t>
      </w:r>
      <w:r w:rsidR="00073E08" w:rsidRPr="00073E08">
        <w:rPr>
          <w:b/>
          <w:bCs/>
          <w:color w:val="auto"/>
          <w:szCs w:val="28"/>
        </w:rPr>
        <w:t>MARION.</w:t>
      </w:r>
      <w:r w:rsidR="00073E08">
        <w:rPr>
          <w:b/>
          <w:bCs/>
          <w:color w:val="auto"/>
          <w:szCs w:val="28"/>
        </w:rPr>
        <w:t xml:space="preserve"> </w:t>
      </w:r>
      <w:r w:rsidR="00073E08" w:rsidRPr="00073E08">
        <w:rPr>
          <w:b/>
          <w:bCs/>
          <w:color w:val="auto"/>
          <w:szCs w:val="28"/>
        </w:rPr>
        <w:t>Henri</w:t>
      </w:r>
      <w:hyperlink r:id="rId13" w:tooltip="Henri Marion" w:history="1">
        <w:r w:rsidRPr="006F225C">
          <w:rPr>
            <w:b/>
            <w:bCs/>
            <w:color w:val="auto"/>
            <w:szCs w:val="28"/>
          </w:rPr>
          <w:t xml:space="preserve"> </w:t>
        </w:r>
      </w:hyperlink>
      <w:r w:rsidRPr="006F225C">
        <w:rPr>
          <w:b/>
          <w:bCs/>
          <w:color w:val="auto"/>
          <w:szCs w:val="28"/>
        </w:rPr>
        <w:t>, </w:t>
      </w:r>
      <w:hyperlink r:id="rId14" w:tooltip="Ferdinand Buisson" w:history="1">
        <w:r w:rsidRPr="006F225C">
          <w:rPr>
            <w:b/>
            <w:bCs/>
            <w:color w:val="auto"/>
            <w:szCs w:val="28"/>
          </w:rPr>
          <w:t xml:space="preserve"> </w:t>
        </w:r>
      </w:hyperlink>
      <w:r w:rsidR="004F53EE">
        <w:rPr>
          <w:b/>
          <w:bCs/>
          <w:color w:val="auto"/>
          <w:szCs w:val="28"/>
        </w:rPr>
        <w:t xml:space="preserve">BUISSON. Ferdinand  </w:t>
      </w:r>
      <w:r w:rsidRPr="006F225C">
        <w:rPr>
          <w:color w:val="auto"/>
          <w:szCs w:val="28"/>
        </w:rPr>
        <w:t> ou encore </w:t>
      </w:r>
      <w:r w:rsidR="0070189E">
        <w:rPr>
          <w:b/>
          <w:bCs/>
          <w:color w:val="auto"/>
          <w:szCs w:val="28"/>
        </w:rPr>
        <w:t>D</w:t>
      </w:r>
      <w:r w:rsidR="0070189E" w:rsidRPr="0070189E">
        <w:rPr>
          <w:b/>
          <w:bCs/>
          <w:color w:val="auto"/>
          <w:szCs w:val="28"/>
        </w:rPr>
        <w:t>U</w:t>
      </w:r>
      <w:r w:rsidR="0070189E">
        <w:rPr>
          <w:b/>
          <w:bCs/>
          <w:color w:val="auto"/>
          <w:szCs w:val="28"/>
        </w:rPr>
        <w:t>RKH</w:t>
      </w:r>
      <w:r w:rsidR="0070189E" w:rsidRPr="0070189E">
        <w:rPr>
          <w:b/>
          <w:bCs/>
          <w:color w:val="auto"/>
          <w:szCs w:val="28"/>
        </w:rPr>
        <w:t>EIM.</w:t>
      </w:r>
      <w:r w:rsidR="0070189E">
        <w:rPr>
          <w:b/>
          <w:bCs/>
          <w:color w:val="auto"/>
          <w:szCs w:val="28"/>
        </w:rPr>
        <w:t xml:space="preserve"> </w:t>
      </w:r>
      <w:r w:rsidR="001F0340" w:rsidRPr="001F0340">
        <w:rPr>
          <w:b/>
          <w:bCs/>
          <w:color w:val="auto"/>
          <w:szCs w:val="28"/>
        </w:rPr>
        <w:t>Émile</w:t>
      </w:r>
      <w:r w:rsidR="0070189E">
        <w:rPr>
          <w:b/>
          <w:bCs/>
          <w:color w:val="auto"/>
          <w:szCs w:val="28"/>
        </w:rPr>
        <w:t>.</w:t>
      </w:r>
      <w:r w:rsidRPr="006F225C">
        <w:rPr>
          <w:color w:val="auto"/>
          <w:szCs w:val="28"/>
        </w:rPr>
        <w:t xml:space="preserve"> Elle est supprimée en 1917, à la mort de Durkheim.</w:t>
      </w:r>
    </w:p>
    <w:p w:rsidR="00666DE8" w:rsidRPr="007574FD" w:rsidRDefault="00666DE8" w:rsidP="0008137B">
      <w:pPr>
        <w:pStyle w:val="Paragraphedeliste"/>
        <w:numPr>
          <w:ilvl w:val="0"/>
          <w:numId w:val="8"/>
        </w:numPr>
        <w:shd w:val="clear" w:color="auto" w:fill="FFFFFF"/>
        <w:spacing w:before="120" w:after="0" w:line="276" w:lineRule="auto"/>
        <w:ind w:left="284" w:hanging="284"/>
        <w:jc w:val="left"/>
        <w:rPr>
          <w:color w:val="auto"/>
          <w:szCs w:val="28"/>
        </w:rPr>
      </w:pPr>
      <w:r w:rsidRPr="007574FD">
        <w:rPr>
          <w:b/>
          <w:bCs/>
          <w:color w:val="auto"/>
          <w:szCs w:val="28"/>
        </w:rPr>
        <w:t>L'Association internationale des sciences de l'éducation</w:t>
      </w:r>
    </w:p>
    <w:p w:rsidR="00666DE8" w:rsidRPr="006F225C" w:rsidRDefault="00666DE8" w:rsidP="0008137B">
      <w:pPr>
        <w:shd w:val="clear" w:color="auto" w:fill="FFFFFF"/>
        <w:spacing w:before="120" w:after="0" w:line="276" w:lineRule="auto"/>
        <w:ind w:firstLine="0"/>
        <w:jc w:val="left"/>
        <w:rPr>
          <w:color w:val="auto"/>
          <w:szCs w:val="28"/>
        </w:rPr>
      </w:pPr>
      <w:r w:rsidRPr="006F225C">
        <w:rPr>
          <w:color w:val="auto"/>
          <w:szCs w:val="28"/>
        </w:rPr>
        <w:t>La première est l'Association internationale des sciences de l'éducation, qui prend en 1977 le nom d'Association mondiale des sciences de l'éducation (AMSE). Un premier congrès international de l’enseignement universitaire de sciences de l'éducation, se tient à Gand, en septembre 1953. Destiné aux professeurs d'université, il rassemble une centaine de participants, et est organisé par R.L. Plancke, de l'université de cette ville et Richard Verbist.</w:t>
      </w:r>
    </w:p>
    <w:p w:rsidR="00666DE8" w:rsidRPr="006F225C" w:rsidRDefault="00666DE8" w:rsidP="0008137B">
      <w:pPr>
        <w:shd w:val="clear" w:color="auto" w:fill="FFFFFF"/>
        <w:spacing w:before="120" w:after="0" w:line="276" w:lineRule="auto"/>
        <w:ind w:firstLine="0"/>
        <w:jc w:val="left"/>
        <w:rPr>
          <w:color w:val="auto"/>
          <w:szCs w:val="28"/>
        </w:rPr>
      </w:pPr>
      <w:r w:rsidRPr="006F225C">
        <w:rPr>
          <w:color w:val="auto"/>
          <w:szCs w:val="28"/>
        </w:rPr>
        <w:t>Lors de ce premier congrès, le principe de maintenir les échanges entre universitaires du champ de l'éducation est décidé, il s'accompagne de la création d'un « secrétariat international pour l'enseignement universitaire des sciences pédagogiques », basé à Gand, de la création d'une revue et d'une décision de faire un deuxième congrès.</w:t>
      </w:r>
    </w:p>
    <w:p w:rsidR="00666DE8" w:rsidRPr="006F225C" w:rsidRDefault="00666DE8" w:rsidP="0008137B">
      <w:pPr>
        <w:shd w:val="clear" w:color="auto" w:fill="FFFFFF"/>
        <w:spacing w:before="120" w:after="0" w:line="276" w:lineRule="auto"/>
        <w:ind w:firstLine="0"/>
        <w:jc w:val="left"/>
        <w:rPr>
          <w:color w:val="auto"/>
          <w:szCs w:val="28"/>
        </w:rPr>
      </w:pPr>
      <w:r w:rsidRPr="006F225C">
        <w:rPr>
          <w:color w:val="auto"/>
          <w:szCs w:val="28"/>
        </w:rPr>
        <w:t>Celui-ci se tient à Florence, en 1957. La décision de créer une association est prise, son nom est trouvé : Association internationale des sciences de l'éducation. Un conseil d'enseignants universitaires représentant 28 pays doit coordonner le projet</w:t>
      </w:r>
      <w:hyperlink r:id="rId15" w:anchor="cite_note-7" w:history="1">
        <w:r w:rsidRPr="006F225C">
          <w:rPr>
            <w:color w:val="auto"/>
            <w:szCs w:val="28"/>
            <w:u w:val="single"/>
            <w:vertAlign w:val="superscript"/>
          </w:rPr>
          <w:t>7</w:t>
        </w:r>
      </w:hyperlink>
      <w:r w:rsidRPr="006F225C">
        <w:rPr>
          <w:color w:val="auto"/>
          <w:szCs w:val="28"/>
        </w:rPr>
        <w:t xml:space="preserve">, et un comité d'action de cinq personnes est nommé, dont font partie Maurice Debesse, R.L. Plancke, M.J. Langeveld, J. Sandven et W.A.C. Stewart. L'association est fondée officiellement au cours du congrès d'Oslo, en 1961. Elle doit notamment « promouvoir la recherche scientifique dans le domaine de l’éducation et de l’enseignement des sciences de l’éducation </w:t>
      </w:r>
      <w:r w:rsidRPr="006F225C">
        <w:rPr>
          <w:color w:val="auto"/>
          <w:szCs w:val="28"/>
        </w:rPr>
        <w:lastRenderedPageBreak/>
        <w:t>au niveau universitaire et sur un plan international, par l’édition ou la promotion de publication scientifiques, par l’échange d’informations […] ».</w:t>
      </w:r>
    </w:p>
    <w:p w:rsidR="00AF0CA1" w:rsidRPr="00666DE8" w:rsidRDefault="00AF0CA1" w:rsidP="0008137B">
      <w:pPr>
        <w:spacing w:after="0" w:line="276" w:lineRule="auto"/>
        <w:rPr>
          <w:szCs w:val="28"/>
        </w:rPr>
      </w:pPr>
    </w:p>
    <w:sectPr w:rsidR="00AF0CA1" w:rsidRPr="00666DE8" w:rsidSect="00B17831">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DD2" w:rsidRDefault="00F21DD2" w:rsidP="00535010">
      <w:pPr>
        <w:spacing w:after="0" w:line="240" w:lineRule="auto"/>
      </w:pPr>
      <w:r>
        <w:separator/>
      </w:r>
    </w:p>
  </w:endnote>
  <w:endnote w:type="continuationSeparator" w:id="0">
    <w:p w:rsidR="00F21DD2" w:rsidRDefault="00F21DD2" w:rsidP="00535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5515502"/>
      <w:docPartObj>
        <w:docPartGallery w:val="Page Numbers (Bottom of Page)"/>
        <w:docPartUnique/>
      </w:docPartObj>
    </w:sdtPr>
    <w:sdtEndPr/>
    <w:sdtContent>
      <w:p w:rsidR="00CF196B" w:rsidRDefault="00CF196B">
        <w:pPr>
          <w:pStyle w:val="Pieddepage"/>
        </w:pPr>
        <w:r>
          <w:rPr>
            <w:noProof/>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ge">
                    <wp:align>bottom</wp:align>
                  </wp:positionV>
                  <wp:extent cx="436880" cy="716915"/>
                  <wp:effectExtent l="9525" t="9525" r="10795" b="6985"/>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2"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CF196B" w:rsidRDefault="00CF196B">
                                <w:pPr>
                                  <w:pStyle w:val="Pieddepage"/>
                                  <w:jc w:val="center"/>
                                  <w:rPr>
                                    <w:sz w:val="16"/>
                                    <w:szCs w:val="16"/>
                                  </w:rPr>
                                </w:pPr>
                                <w:r>
                                  <w:rPr>
                                    <w:sz w:val="22"/>
                                  </w:rPr>
                                  <w:fldChar w:fldCharType="begin"/>
                                </w:r>
                                <w:r>
                                  <w:instrText>PAGE    \* MERGEFORMAT</w:instrText>
                                </w:r>
                                <w:r>
                                  <w:rPr>
                                    <w:sz w:val="22"/>
                                  </w:rPr>
                                  <w:fldChar w:fldCharType="separate"/>
                                </w:r>
                                <w:r w:rsidR="000D6E2A" w:rsidRPr="000D6E2A">
                                  <w:rPr>
                                    <w:noProof/>
                                    <w:sz w:val="16"/>
                                    <w:szCs w:val="16"/>
                                  </w:rPr>
                                  <w:t>2</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e 1" o:spid="_x0000_s1027" style="position:absolute;left:0;text-align:left;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rsidR="00CF196B" w:rsidRDefault="00CF196B">
                          <w:pPr>
                            <w:pStyle w:val="Pieddepage"/>
                            <w:jc w:val="center"/>
                            <w:rPr>
                              <w:sz w:val="16"/>
                              <w:szCs w:val="16"/>
                            </w:rPr>
                          </w:pPr>
                          <w:r>
                            <w:rPr>
                              <w:sz w:val="22"/>
                            </w:rPr>
                            <w:fldChar w:fldCharType="begin"/>
                          </w:r>
                          <w:r>
                            <w:instrText>PAGE    \* MERGEFORMAT</w:instrText>
                          </w:r>
                          <w:r>
                            <w:rPr>
                              <w:sz w:val="22"/>
                            </w:rPr>
                            <w:fldChar w:fldCharType="separate"/>
                          </w:r>
                          <w:r w:rsidR="000D6E2A" w:rsidRPr="000D6E2A">
                            <w:rPr>
                              <w:noProof/>
                              <w:sz w:val="16"/>
                              <w:szCs w:val="16"/>
                            </w:rPr>
                            <w:t>2</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DD2" w:rsidRDefault="00F21DD2" w:rsidP="00535010">
      <w:pPr>
        <w:spacing w:after="0" w:line="240" w:lineRule="auto"/>
      </w:pPr>
      <w:r>
        <w:separator/>
      </w:r>
    </w:p>
  </w:footnote>
  <w:footnote w:type="continuationSeparator" w:id="0">
    <w:p w:rsidR="00F21DD2" w:rsidRDefault="00F21DD2" w:rsidP="00535010">
      <w:pPr>
        <w:spacing w:after="0" w:line="240" w:lineRule="auto"/>
      </w:pPr>
      <w:r>
        <w:continuationSeparator/>
      </w:r>
    </w:p>
  </w:footnote>
  <w:footnote w:id="1">
    <w:p w:rsidR="00535010" w:rsidRPr="00436EEE" w:rsidRDefault="00535010" w:rsidP="00535010">
      <w:pPr>
        <w:pStyle w:val="footnotedescription"/>
        <w:spacing w:line="241" w:lineRule="auto"/>
        <w:ind w:right="1"/>
        <w:rPr>
          <w:rFonts w:ascii="Times New Roman" w:hAnsi="Times New Roman" w:cs="Times New Roman"/>
        </w:rPr>
      </w:pPr>
      <w:r>
        <w:rPr>
          <w:rStyle w:val="footnotemark"/>
        </w:rPr>
        <w:footnoteRef/>
      </w:r>
      <w:r>
        <w:t xml:space="preserve"> </w:t>
      </w:r>
      <w:r w:rsidRPr="00E12433">
        <w:rPr>
          <w:rFonts w:ascii="Times New Roman" w:hAnsi="Times New Roman" w:cs="Times New Roman"/>
        </w:rPr>
        <w:t xml:space="preserve">Il y a, peut-être, quelque exagération dans le rôle assigné ici au pédagogue en Grèce. Mais, s'il est possible que l'exactitude historique de la description soit contestée par certains, tous reconnaîtront que cette présentation a le mérite de constituer une image forte et d'appeler à la réflexion... Elle place, </w:t>
      </w:r>
      <w:r w:rsidRPr="00E12433">
        <w:rPr>
          <w:rFonts w:ascii="Times New Roman" w:hAnsi="Times New Roman" w:cs="Times New Roman"/>
          <w:szCs w:val="20"/>
        </w:rPr>
        <w:t>d'emblée, la pédagogie, comme le dit daniel Hameline, sous le signe de la "guidance" : "</w:t>
      </w:r>
      <w:r w:rsidRPr="00E12433">
        <w:rPr>
          <w:rFonts w:ascii="Times New Roman" w:hAnsi="Times New Roman" w:cs="Times New Roman"/>
          <w:i/>
          <w:szCs w:val="20"/>
        </w:rPr>
        <w:t>Tout</w:t>
      </w:r>
      <w:r w:rsidRPr="00E12433">
        <w:rPr>
          <w:rFonts w:ascii="Times New Roman" w:hAnsi="Times New Roman" w:cs="Times New Roman"/>
          <w:szCs w:val="20"/>
        </w:rPr>
        <w:t xml:space="preserve"> </w:t>
      </w:r>
      <w:r w:rsidRPr="00E12433">
        <w:rPr>
          <w:rFonts w:ascii="Times New Roman" w:hAnsi="Times New Roman" w:cs="Times New Roman"/>
          <w:i/>
          <w:szCs w:val="20"/>
        </w:rPr>
        <w:t>éduqué, en quelque sorte, est une</w:t>
      </w:r>
      <w:r w:rsidRPr="00E12433">
        <w:rPr>
          <w:i/>
          <w:szCs w:val="20"/>
        </w:rPr>
        <w:t xml:space="preserve"> </w:t>
      </w:r>
      <w:r w:rsidRPr="00E12433">
        <w:rPr>
          <w:rFonts w:ascii="Times New Roman" w:hAnsi="Times New Roman" w:cs="Times New Roman"/>
          <w:i/>
          <w:szCs w:val="20"/>
        </w:rPr>
        <w:t>personne déplacée,</w:t>
      </w:r>
      <w:r>
        <w:rPr>
          <w:i/>
        </w:rPr>
        <w:t xml:space="preserve"> qui, </w:t>
      </w:r>
      <w:r w:rsidRPr="00436EEE">
        <w:rPr>
          <w:rFonts w:ascii="Times New Roman" w:hAnsi="Times New Roman" w:cs="Times New Roman"/>
          <w:i/>
        </w:rPr>
        <w:t>sous la conduite d'autrui</w:t>
      </w:r>
      <w:r w:rsidRPr="00436EEE">
        <w:rPr>
          <w:rFonts w:ascii="Times New Roman" w:hAnsi="Times New Roman" w:cs="Times New Roman"/>
        </w:rPr>
        <w:t xml:space="preserve"> </w:t>
      </w:r>
      <w:r w:rsidRPr="00436EEE">
        <w:rPr>
          <w:rFonts w:ascii="Times New Roman" w:hAnsi="Times New Roman" w:cs="Times New Roman"/>
          <w:i/>
        </w:rPr>
        <w:t>a dû quitter un "lieu" pour en gagner un autre."</w:t>
      </w:r>
      <w:r w:rsidRPr="00436EEE">
        <w:rPr>
          <w:rFonts w:ascii="Times New Roman" w:hAnsi="Times New Roman" w:cs="Times New Roman"/>
        </w:rPr>
        <w:t xml:space="preserve"> </w:t>
      </w:r>
      <w:r w:rsidRPr="00436EEE">
        <w:rPr>
          <w:rFonts w:ascii="Times New Roman" w:hAnsi="Times New Roman" w:cs="Times New Roman"/>
          <w:i/>
        </w:rPr>
        <w:t xml:space="preserve">(Encyclopedia Universalis  </w:t>
      </w:r>
      <w:r w:rsidRPr="00436EEE">
        <w:rPr>
          <w:rFonts w:ascii="Times New Roman" w:hAnsi="Times New Roman" w:cs="Times New Roman"/>
        </w:rPr>
        <w:t>article "pédagogie", tome 17, Paris, 1992, page 725).</w:t>
      </w:r>
    </w:p>
  </w:footnote>
  <w:footnote w:id="2">
    <w:p w:rsidR="00535010" w:rsidRPr="00FE20E6" w:rsidRDefault="00535010" w:rsidP="00535010">
      <w:pPr>
        <w:pStyle w:val="footnotedescription"/>
        <w:spacing w:after="11" w:line="244" w:lineRule="auto"/>
        <w:ind w:right="1"/>
        <w:rPr>
          <w:rFonts w:ascii="Times New Roman" w:hAnsi="Times New Roman" w:cs="Times New Roman"/>
        </w:rPr>
      </w:pPr>
      <w:r>
        <w:rPr>
          <w:rStyle w:val="footnotemark"/>
        </w:rPr>
        <w:footnoteRef/>
      </w:r>
      <w:r>
        <w:t xml:space="preserve"> </w:t>
      </w:r>
      <w:r w:rsidRPr="00FE20E6">
        <w:rPr>
          <w:rFonts w:ascii="Times New Roman" w:hAnsi="Times New Roman" w:cs="Times New Roman"/>
        </w:rPr>
        <w:t xml:space="preserve">On trouvera des exemples de ces trois pôles articulés de manière originale selon les doctrines pédagogiques dans </w:t>
      </w:r>
      <w:r w:rsidRPr="00FE20E6">
        <w:rPr>
          <w:rFonts w:ascii="Times New Roman" w:hAnsi="Times New Roman" w:cs="Times New Roman"/>
          <w:i/>
        </w:rPr>
        <w:t xml:space="preserve">Emile, reviens vite, ils sont devenus fous, </w:t>
      </w:r>
      <w:r w:rsidRPr="00FE20E6">
        <w:rPr>
          <w:rFonts w:ascii="Times New Roman" w:hAnsi="Times New Roman" w:cs="Times New Roman"/>
        </w:rPr>
        <w:t>Miche Develay et Philippe Meirieu, ESF éditeur, Paris, 1992, pages 45 et sq.</w:t>
      </w:r>
    </w:p>
  </w:footnote>
  <w:footnote w:id="3">
    <w:p w:rsidR="00535010" w:rsidRPr="00FE20E6" w:rsidRDefault="00535010" w:rsidP="00535010">
      <w:pPr>
        <w:pStyle w:val="footnotedescription"/>
        <w:spacing w:line="242" w:lineRule="auto"/>
        <w:ind w:right="2"/>
        <w:rPr>
          <w:rFonts w:ascii="Times New Roman" w:hAnsi="Times New Roman" w:cs="Times New Roman"/>
        </w:rPr>
      </w:pPr>
      <w:r w:rsidRPr="00FE20E6">
        <w:rPr>
          <w:rStyle w:val="footnotemark"/>
          <w:rFonts w:ascii="Times New Roman" w:hAnsi="Times New Roman" w:cs="Times New Roman"/>
        </w:rPr>
        <w:footnoteRef/>
      </w:r>
      <w:r w:rsidRPr="00FE20E6">
        <w:rPr>
          <w:rFonts w:ascii="Times New Roman" w:hAnsi="Times New Roman" w:cs="Times New Roman"/>
        </w:rPr>
        <w:t xml:space="preserve"> C'est Daniel Hameline qui rappelle, dans son ouvrage </w:t>
      </w:r>
      <w:r w:rsidRPr="00FE20E6">
        <w:rPr>
          <w:rFonts w:ascii="Times New Roman" w:hAnsi="Times New Roman" w:cs="Times New Roman"/>
          <w:i/>
        </w:rPr>
        <w:t>L'éducation, ses images et</w:t>
      </w:r>
      <w:r w:rsidRPr="00FE20E6">
        <w:rPr>
          <w:rFonts w:ascii="Times New Roman" w:hAnsi="Times New Roman" w:cs="Times New Roman"/>
        </w:rPr>
        <w:t xml:space="preserve"> </w:t>
      </w:r>
      <w:r w:rsidRPr="00FE20E6">
        <w:rPr>
          <w:rFonts w:ascii="Times New Roman" w:hAnsi="Times New Roman" w:cs="Times New Roman"/>
          <w:i/>
        </w:rPr>
        <w:t xml:space="preserve">son propos </w:t>
      </w:r>
      <w:r w:rsidRPr="00FE20E6">
        <w:rPr>
          <w:rFonts w:ascii="Times New Roman" w:hAnsi="Times New Roman" w:cs="Times New Roman"/>
        </w:rPr>
        <w:t xml:space="preserve">(ESF éditeur, Paris, 1986, pp. 141 et sq.) que Taine qualifiait ainsi les"discours pédagogiques" de son époque, et, en particulier, celui de Victor Cousin : </w:t>
      </w:r>
      <w:r w:rsidRPr="00FE20E6">
        <w:rPr>
          <w:rFonts w:ascii="Times New Roman" w:hAnsi="Times New Roman" w:cs="Times New Roman"/>
          <w:i/>
        </w:rPr>
        <w:t xml:space="preserve">"Discours qui appartiennent à la conversation, </w:t>
      </w:r>
      <w:r w:rsidRPr="00FE20E6">
        <w:rPr>
          <w:rFonts w:ascii="Times New Roman" w:hAnsi="Times New Roman" w:cs="Times New Roman"/>
        </w:rPr>
        <w:t xml:space="preserve">et </w:t>
      </w:r>
      <w:r w:rsidRPr="00FE20E6">
        <w:rPr>
          <w:rFonts w:ascii="Times New Roman" w:hAnsi="Times New Roman" w:cs="Times New Roman"/>
          <w:i/>
        </w:rPr>
        <w:t xml:space="preserve">non à la science, qui sont du domaine de </w:t>
      </w:r>
      <w:r w:rsidRPr="00FE20E6">
        <w:rPr>
          <w:rFonts w:ascii="Times New Roman" w:hAnsi="Times New Roman" w:cs="Times New Roman"/>
        </w:rPr>
        <w:t xml:space="preserve">tous </w:t>
      </w:r>
      <w:r w:rsidRPr="00FE20E6">
        <w:rPr>
          <w:rFonts w:ascii="Times New Roman" w:hAnsi="Times New Roman" w:cs="Times New Roman"/>
          <w:i/>
        </w:rPr>
        <w:t>et non du domaine de quelques-uns, qu'on entend et qu'on aime, non parce qu'on est</w:t>
      </w:r>
      <w:r w:rsidRPr="00FE20E6">
        <w:rPr>
          <w:rFonts w:ascii="Times New Roman" w:hAnsi="Times New Roman" w:cs="Times New Roman"/>
        </w:rPr>
        <w:t xml:space="preserve"> </w:t>
      </w:r>
      <w:r w:rsidRPr="00FE20E6">
        <w:rPr>
          <w:rFonts w:ascii="Times New Roman" w:hAnsi="Times New Roman" w:cs="Times New Roman"/>
          <w:i/>
        </w:rPr>
        <w:t xml:space="preserve">un </w:t>
      </w:r>
      <w:r w:rsidRPr="00FE20E6">
        <w:rPr>
          <w:rFonts w:ascii="Times New Roman" w:hAnsi="Times New Roman" w:cs="Times New Roman"/>
        </w:rPr>
        <w:t xml:space="preserve">homme </w:t>
      </w:r>
      <w:r w:rsidRPr="00FE20E6">
        <w:rPr>
          <w:rFonts w:ascii="Times New Roman" w:hAnsi="Times New Roman" w:cs="Times New Roman"/>
          <w:i/>
        </w:rPr>
        <w:t>spécial, mais</w:t>
      </w:r>
      <w:r w:rsidRPr="00FE20E6">
        <w:rPr>
          <w:rFonts w:ascii="Times New Roman" w:hAnsi="Times New Roman" w:cs="Times New Roman"/>
        </w:rPr>
        <w:t xml:space="preserve"> </w:t>
      </w:r>
      <w:r w:rsidRPr="00FE20E6">
        <w:rPr>
          <w:rFonts w:ascii="Times New Roman" w:hAnsi="Times New Roman" w:cs="Times New Roman"/>
          <w:i/>
        </w:rPr>
        <w:t>parce qu'on est un homme bien élevé'</w:t>
      </w:r>
    </w:p>
  </w:footnote>
  <w:footnote w:id="4">
    <w:p w:rsidR="00535010" w:rsidRPr="00FE20E6" w:rsidRDefault="00535010" w:rsidP="00535010">
      <w:pPr>
        <w:pStyle w:val="footnotedescription"/>
        <w:spacing w:after="45" w:line="259" w:lineRule="auto"/>
        <w:jc w:val="left"/>
        <w:rPr>
          <w:rFonts w:ascii="Times New Roman" w:hAnsi="Times New Roman" w:cs="Times New Roman"/>
        </w:rPr>
      </w:pPr>
      <w:r w:rsidRPr="00FE20E6">
        <w:rPr>
          <w:rStyle w:val="footnotemark"/>
          <w:rFonts w:ascii="Times New Roman" w:hAnsi="Times New Roman" w:cs="Times New Roman"/>
        </w:rPr>
        <w:footnoteRef/>
      </w:r>
      <w:r w:rsidRPr="00FE20E6">
        <w:rPr>
          <w:rFonts w:ascii="Times New Roman" w:hAnsi="Times New Roman" w:cs="Times New Roman"/>
        </w:rPr>
        <w:t xml:space="preserve"> </w:t>
      </w:r>
      <w:r w:rsidRPr="00FE20E6">
        <w:rPr>
          <w:rFonts w:ascii="Times New Roman" w:hAnsi="Times New Roman" w:cs="Times New Roman"/>
          <w:i/>
          <w:vertAlign w:val="superscript"/>
        </w:rPr>
        <w:t xml:space="preserve">. </w:t>
      </w:r>
      <w:r w:rsidRPr="00FE20E6">
        <w:rPr>
          <w:rFonts w:ascii="Times New Roman" w:hAnsi="Times New Roman" w:cs="Times New Roman"/>
          <w:i/>
        </w:rPr>
        <w:t xml:space="preserve">L'éducation nationale, </w:t>
      </w:r>
      <w:r w:rsidRPr="00FE20E6">
        <w:rPr>
          <w:rFonts w:ascii="Times New Roman" w:hAnsi="Times New Roman" w:cs="Times New Roman"/>
        </w:rPr>
        <w:t>n° 820, mars 1967, XII-3</w:t>
      </w:r>
    </w:p>
  </w:footnote>
  <w:footnote w:id="5">
    <w:p w:rsidR="00535010" w:rsidRPr="0083161B" w:rsidRDefault="00535010" w:rsidP="00535010">
      <w:pPr>
        <w:pStyle w:val="footnotedescription"/>
        <w:spacing w:line="247" w:lineRule="auto"/>
        <w:rPr>
          <w:rFonts w:ascii="Times New Roman" w:hAnsi="Times New Roman" w:cs="Times New Roman"/>
        </w:rPr>
      </w:pPr>
      <w:r>
        <w:rPr>
          <w:rStyle w:val="footnotemark"/>
        </w:rPr>
        <w:footnoteRef/>
      </w:r>
      <w:r>
        <w:t xml:space="preserve"> </w:t>
      </w:r>
      <w:r w:rsidRPr="0083161B">
        <w:rPr>
          <w:rFonts w:ascii="Times New Roman" w:hAnsi="Times New Roman" w:cs="Times New Roman"/>
        </w:rPr>
        <w:t xml:space="preserve">Le </w:t>
      </w:r>
      <w:r w:rsidRPr="0083161B">
        <w:rPr>
          <w:rFonts w:ascii="Times New Roman" w:hAnsi="Times New Roman" w:cs="Times New Roman"/>
          <w:i/>
        </w:rPr>
        <w:t>Dictionnaire de pédagogie et d'instruction primaire</w:t>
      </w:r>
      <w:r w:rsidRPr="0083161B">
        <w:rPr>
          <w:rFonts w:ascii="Times New Roman" w:hAnsi="Times New Roman" w:cs="Times New Roman"/>
        </w:rPr>
        <w:t xml:space="preserve"> de Ferdinand Buisson date de 1887 (p. 2238).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A4785"/>
    <w:multiLevelType w:val="multilevel"/>
    <w:tmpl w:val="12940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91943"/>
    <w:multiLevelType w:val="multilevel"/>
    <w:tmpl w:val="89809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541C51"/>
    <w:multiLevelType w:val="hybridMultilevel"/>
    <w:tmpl w:val="9C54C13E"/>
    <w:lvl w:ilvl="0" w:tplc="A8D0AA6E">
      <w:start w:val="1"/>
      <w:numFmt w:val="bullet"/>
      <w:lvlText w:val=""/>
      <w:lvlJc w:val="left"/>
      <w:pPr>
        <w:ind w:left="725" w:hanging="360"/>
      </w:pPr>
      <w:rPr>
        <w:rFonts w:ascii="Wingdings" w:hAnsi="Wingdings" w:hint="default"/>
      </w:rPr>
    </w:lvl>
    <w:lvl w:ilvl="1" w:tplc="040C0003" w:tentative="1">
      <w:start w:val="1"/>
      <w:numFmt w:val="bullet"/>
      <w:lvlText w:val="o"/>
      <w:lvlJc w:val="left"/>
      <w:pPr>
        <w:ind w:left="1445" w:hanging="360"/>
      </w:pPr>
      <w:rPr>
        <w:rFonts w:ascii="Courier New" w:hAnsi="Courier New" w:cs="Courier New" w:hint="default"/>
      </w:rPr>
    </w:lvl>
    <w:lvl w:ilvl="2" w:tplc="040C0005" w:tentative="1">
      <w:start w:val="1"/>
      <w:numFmt w:val="bullet"/>
      <w:lvlText w:val=""/>
      <w:lvlJc w:val="left"/>
      <w:pPr>
        <w:ind w:left="2165" w:hanging="360"/>
      </w:pPr>
      <w:rPr>
        <w:rFonts w:ascii="Wingdings" w:hAnsi="Wingdings" w:hint="default"/>
      </w:rPr>
    </w:lvl>
    <w:lvl w:ilvl="3" w:tplc="040C0001" w:tentative="1">
      <w:start w:val="1"/>
      <w:numFmt w:val="bullet"/>
      <w:lvlText w:val=""/>
      <w:lvlJc w:val="left"/>
      <w:pPr>
        <w:ind w:left="2885" w:hanging="360"/>
      </w:pPr>
      <w:rPr>
        <w:rFonts w:ascii="Symbol" w:hAnsi="Symbol" w:hint="default"/>
      </w:rPr>
    </w:lvl>
    <w:lvl w:ilvl="4" w:tplc="040C0003" w:tentative="1">
      <w:start w:val="1"/>
      <w:numFmt w:val="bullet"/>
      <w:lvlText w:val="o"/>
      <w:lvlJc w:val="left"/>
      <w:pPr>
        <w:ind w:left="3605" w:hanging="360"/>
      </w:pPr>
      <w:rPr>
        <w:rFonts w:ascii="Courier New" w:hAnsi="Courier New" w:cs="Courier New" w:hint="default"/>
      </w:rPr>
    </w:lvl>
    <w:lvl w:ilvl="5" w:tplc="040C0005" w:tentative="1">
      <w:start w:val="1"/>
      <w:numFmt w:val="bullet"/>
      <w:lvlText w:val=""/>
      <w:lvlJc w:val="left"/>
      <w:pPr>
        <w:ind w:left="4325" w:hanging="360"/>
      </w:pPr>
      <w:rPr>
        <w:rFonts w:ascii="Wingdings" w:hAnsi="Wingdings" w:hint="default"/>
      </w:rPr>
    </w:lvl>
    <w:lvl w:ilvl="6" w:tplc="040C0001" w:tentative="1">
      <w:start w:val="1"/>
      <w:numFmt w:val="bullet"/>
      <w:lvlText w:val=""/>
      <w:lvlJc w:val="left"/>
      <w:pPr>
        <w:ind w:left="5045" w:hanging="360"/>
      </w:pPr>
      <w:rPr>
        <w:rFonts w:ascii="Symbol" w:hAnsi="Symbol" w:hint="default"/>
      </w:rPr>
    </w:lvl>
    <w:lvl w:ilvl="7" w:tplc="040C0003" w:tentative="1">
      <w:start w:val="1"/>
      <w:numFmt w:val="bullet"/>
      <w:lvlText w:val="o"/>
      <w:lvlJc w:val="left"/>
      <w:pPr>
        <w:ind w:left="5765" w:hanging="360"/>
      </w:pPr>
      <w:rPr>
        <w:rFonts w:ascii="Courier New" w:hAnsi="Courier New" w:cs="Courier New" w:hint="default"/>
      </w:rPr>
    </w:lvl>
    <w:lvl w:ilvl="8" w:tplc="040C0005" w:tentative="1">
      <w:start w:val="1"/>
      <w:numFmt w:val="bullet"/>
      <w:lvlText w:val=""/>
      <w:lvlJc w:val="left"/>
      <w:pPr>
        <w:ind w:left="6485" w:hanging="360"/>
      </w:pPr>
      <w:rPr>
        <w:rFonts w:ascii="Wingdings" w:hAnsi="Wingdings" w:hint="default"/>
      </w:rPr>
    </w:lvl>
  </w:abstractNum>
  <w:abstractNum w:abstractNumId="3" w15:restartNumberingAfterBreak="0">
    <w:nsid w:val="2B370596"/>
    <w:multiLevelType w:val="multilevel"/>
    <w:tmpl w:val="DEEA6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2A5777"/>
    <w:multiLevelType w:val="multilevel"/>
    <w:tmpl w:val="523AFC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473BAC"/>
    <w:multiLevelType w:val="multilevel"/>
    <w:tmpl w:val="EEFA9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DB5D74"/>
    <w:multiLevelType w:val="multilevel"/>
    <w:tmpl w:val="E9DC2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0E4743"/>
    <w:multiLevelType w:val="multilevel"/>
    <w:tmpl w:val="0FC6A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7"/>
  </w:num>
  <w:num w:numId="4">
    <w:abstractNumId w:val="5"/>
  </w:num>
  <w:num w:numId="5">
    <w:abstractNumId w:val="0"/>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986"/>
    <w:rsid w:val="00020F38"/>
    <w:rsid w:val="00026427"/>
    <w:rsid w:val="00050A3B"/>
    <w:rsid w:val="00063441"/>
    <w:rsid w:val="00073E08"/>
    <w:rsid w:val="0008137B"/>
    <w:rsid w:val="000C05A3"/>
    <w:rsid w:val="000D6E2A"/>
    <w:rsid w:val="000E71C3"/>
    <w:rsid w:val="00132D12"/>
    <w:rsid w:val="00152D12"/>
    <w:rsid w:val="0016600C"/>
    <w:rsid w:val="00185116"/>
    <w:rsid w:val="001C1387"/>
    <w:rsid w:val="001F0340"/>
    <w:rsid w:val="00234745"/>
    <w:rsid w:val="0025476B"/>
    <w:rsid w:val="00260D42"/>
    <w:rsid w:val="00293D3B"/>
    <w:rsid w:val="002A3C5D"/>
    <w:rsid w:val="002F7804"/>
    <w:rsid w:val="003124D2"/>
    <w:rsid w:val="0033360A"/>
    <w:rsid w:val="0034623A"/>
    <w:rsid w:val="003577A3"/>
    <w:rsid w:val="00365FA6"/>
    <w:rsid w:val="00391356"/>
    <w:rsid w:val="003A6F7F"/>
    <w:rsid w:val="003C1BBA"/>
    <w:rsid w:val="003D204D"/>
    <w:rsid w:val="003E6A2C"/>
    <w:rsid w:val="00433B81"/>
    <w:rsid w:val="00436EEE"/>
    <w:rsid w:val="00450C6D"/>
    <w:rsid w:val="004664F6"/>
    <w:rsid w:val="00474463"/>
    <w:rsid w:val="00486EDD"/>
    <w:rsid w:val="004B11E2"/>
    <w:rsid w:val="004C4D40"/>
    <w:rsid w:val="004F53EE"/>
    <w:rsid w:val="00511E65"/>
    <w:rsid w:val="0051346F"/>
    <w:rsid w:val="00517BAE"/>
    <w:rsid w:val="00535010"/>
    <w:rsid w:val="0056449F"/>
    <w:rsid w:val="00570338"/>
    <w:rsid w:val="00577BE9"/>
    <w:rsid w:val="005A4AD4"/>
    <w:rsid w:val="005A67BF"/>
    <w:rsid w:val="005C3502"/>
    <w:rsid w:val="006025E0"/>
    <w:rsid w:val="006650EB"/>
    <w:rsid w:val="00666DE8"/>
    <w:rsid w:val="00695279"/>
    <w:rsid w:val="00696DA0"/>
    <w:rsid w:val="006A3B65"/>
    <w:rsid w:val="006E4C34"/>
    <w:rsid w:val="006F217B"/>
    <w:rsid w:val="006F225C"/>
    <w:rsid w:val="0070189E"/>
    <w:rsid w:val="00703986"/>
    <w:rsid w:val="00705BD2"/>
    <w:rsid w:val="00727306"/>
    <w:rsid w:val="00730329"/>
    <w:rsid w:val="00731F6B"/>
    <w:rsid w:val="007361F5"/>
    <w:rsid w:val="007574FD"/>
    <w:rsid w:val="00786FE7"/>
    <w:rsid w:val="007F5DE3"/>
    <w:rsid w:val="00810986"/>
    <w:rsid w:val="0083161B"/>
    <w:rsid w:val="00881CFF"/>
    <w:rsid w:val="0089340D"/>
    <w:rsid w:val="008A25F1"/>
    <w:rsid w:val="008A5F28"/>
    <w:rsid w:val="008D4F2C"/>
    <w:rsid w:val="00904239"/>
    <w:rsid w:val="009107F4"/>
    <w:rsid w:val="00922A14"/>
    <w:rsid w:val="009B4101"/>
    <w:rsid w:val="009C7B3C"/>
    <w:rsid w:val="00A47C9C"/>
    <w:rsid w:val="00A619ED"/>
    <w:rsid w:val="00A7553D"/>
    <w:rsid w:val="00AC31D5"/>
    <w:rsid w:val="00AC731F"/>
    <w:rsid w:val="00AC75DB"/>
    <w:rsid w:val="00AD1C62"/>
    <w:rsid w:val="00AE2CBA"/>
    <w:rsid w:val="00AF0CA1"/>
    <w:rsid w:val="00AF6FD9"/>
    <w:rsid w:val="00B0437B"/>
    <w:rsid w:val="00B17831"/>
    <w:rsid w:val="00BA2153"/>
    <w:rsid w:val="00BB46C3"/>
    <w:rsid w:val="00BF009C"/>
    <w:rsid w:val="00C073A9"/>
    <w:rsid w:val="00C42E2B"/>
    <w:rsid w:val="00C5540A"/>
    <w:rsid w:val="00C62C7E"/>
    <w:rsid w:val="00C70AD9"/>
    <w:rsid w:val="00CD3F83"/>
    <w:rsid w:val="00CE124A"/>
    <w:rsid w:val="00CF196B"/>
    <w:rsid w:val="00D26D47"/>
    <w:rsid w:val="00DB263C"/>
    <w:rsid w:val="00DC13F2"/>
    <w:rsid w:val="00DC5390"/>
    <w:rsid w:val="00E02E7B"/>
    <w:rsid w:val="00E12433"/>
    <w:rsid w:val="00E43745"/>
    <w:rsid w:val="00E71133"/>
    <w:rsid w:val="00E8150E"/>
    <w:rsid w:val="00E93AD1"/>
    <w:rsid w:val="00EB4A4C"/>
    <w:rsid w:val="00EC58DA"/>
    <w:rsid w:val="00EC73AD"/>
    <w:rsid w:val="00EC7DC1"/>
    <w:rsid w:val="00ED2486"/>
    <w:rsid w:val="00ED7233"/>
    <w:rsid w:val="00F01EA3"/>
    <w:rsid w:val="00F172FC"/>
    <w:rsid w:val="00F21DD2"/>
    <w:rsid w:val="00F24293"/>
    <w:rsid w:val="00F36066"/>
    <w:rsid w:val="00F363D5"/>
    <w:rsid w:val="00F37ED5"/>
    <w:rsid w:val="00F51559"/>
    <w:rsid w:val="00F8094D"/>
    <w:rsid w:val="00F863E8"/>
    <w:rsid w:val="00FD115D"/>
    <w:rsid w:val="00FE0B1C"/>
    <w:rsid w:val="00FE20E6"/>
    <w:rsid w:val="00FE24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C0975"/>
  <w15:chartTrackingRefBased/>
  <w15:docId w15:val="{72533764-17EF-42A5-96CD-D1ACCE1F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986"/>
    <w:pPr>
      <w:spacing w:after="357" w:line="256" w:lineRule="auto"/>
      <w:ind w:firstLine="288"/>
      <w:jc w:val="both"/>
    </w:pPr>
    <w:rPr>
      <w:rFonts w:ascii="Times New Roman" w:eastAsia="Times New Roman" w:hAnsi="Times New Roman" w:cs="Times New Roman"/>
      <w:color w:val="000000"/>
      <w:sz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reference-text">
    <w:name w:val="reference-text"/>
    <w:basedOn w:val="Policepardfaut"/>
    <w:rsid w:val="00EB4A4C"/>
  </w:style>
  <w:style w:type="character" w:styleId="Lienhypertexte">
    <w:name w:val="Hyperlink"/>
    <w:basedOn w:val="Policepardfaut"/>
    <w:uiPriority w:val="99"/>
    <w:semiHidden/>
    <w:unhideWhenUsed/>
    <w:rsid w:val="00EB4A4C"/>
    <w:rPr>
      <w:color w:val="0000FF"/>
      <w:u w:val="single"/>
    </w:rPr>
  </w:style>
  <w:style w:type="character" w:customStyle="1" w:styleId="mw-cite-backlink">
    <w:name w:val="mw-cite-backlink"/>
    <w:basedOn w:val="Policepardfaut"/>
    <w:rsid w:val="00EB4A4C"/>
  </w:style>
  <w:style w:type="character" w:customStyle="1" w:styleId="cite-accessibility-label">
    <w:name w:val="cite-accessibility-label"/>
    <w:basedOn w:val="Policepardfaut"/>
    <w:rsid w:val="00EB4A4C"/>
  </w:style>
  <w:style w:type="character" w:customStyle="1" w:styleId="ouvrage">
    <w:name w:val="ouvrage"/>
    <w:basedOn w:val="Policepardfaut"/>
    <w:rsid w:val="00EB4A4C"/>
  </w:style>
  <w:style w:type="character" w:styleId="CitationHTML">
    <w:name w:val="HTML Cite"/>
    <w:basedOn w:val="Policepardfaut"/>
    <w:uiPriority w:val="99"/>
    <w:semiHidden/>
    <w:unhideWhenUsed/>
    <w:rsid w:val="00EB4A4C"/>
    <w:rPr>
      <w:i/>
      <w:iCs/>
    </w:rPr>
  </w:style>
  <w:style w:type="character" w:customStyle="1" w:styleId="italique">
    <w:name w:val="italique"/>
    <w:basedOn w:val="Policepardfaut"/>
    <w:rsid w:val="00EB4A4C"/>
  </w:style>
  <w:style w:type="character" w:customStyle="1" w:styleId="nowrap">
    <w:name w:val="nowrap"/>
    <w:basedOn w:val="Policepardfaut"/>
    <w:rsid w:val="00EB4A4C"/>
  </w:style>
  <w:style w:type="paragraph" w:styleId="Paragraphedeliste">
    <w:name w:val="List Paragraph"/>
    <w:basedOn w:val="Normal"/>
    <w:uiPriority w:val="34"/>
    <w:qFormat/>
    <w:rsid w:val="00FE0B1C"/>
    <w:pPr>
      <w:ind w:left="720"/>
      <w:contextualSpacing/>
    </w:pPr>
  </w:style>
  <w:style w:type="paragraph" w:customStyle="1" w:styleId="footnotedescription">
    <w:name w:val="footnote description"/>
    <w:next w:val="Normal"/>
    <w:link w:val="footnotedescriptionChar"/>
    <w:hidden/>
    <w:rsid w:val="00535010"/>
    <w:pPr>
      <w:spacing w:after="0" w:line="246" w:lineRule="auto"/>
      <w:jc w:val="both"/>
    </w:pPr>
    <w:rPr>
      <w:rFonts w:ascii="Verdana" w:eastAsia="Verdana" w:hAnsi="Verdana" w:cs="Verdana"/>
      <w:color w:val="000000"/>
      <w:sz w:val="20"/>
      <w:lang w:eastAsia="fr-FR"/>
    </w:rPr>
  </w:style>
  <w:style w:type="character" w:customStyle="1" w:styleId="footnotedescriptionChar">
    <w:name w:val="footnote description Char"/>
    <w:link w:val="footnotedescription"/>
    <w:rsid w:val="00535010"/>
    <w:rPr>
      <w:rFonts w:ascii="Verdana" w:eastAsia="Verdana" w:hAnsi="Verdana" w:cs="Verdana"/>
      <w:color w:val="000000"/>
      <w:sz w:val="20"/>
      <w:lang w:eastAsia="fr-FR"/>
    </w:rPr>
  </w:style>
  <w:style w:type="character" w:customStyle="1" w:styleId="footnotemark">
    <w:name w:val="footnote mark"/>
    <w:hidden/>
    <w:rsid w:val="00535010"/>
    <w:rPr>
      <w:rFonts w:ascii="Verdana" w:eastAsia="Verdana" w:hAnsi="Verdana" w:cs="Verdana"/>
      <w:color w:val="000000"/>
      <w:sz w:val="20"/>
      <w:vertAlign w:val="superscript"/>
    </w:rPr>
  </w:style>
  <w:style w:type="paragraph" w:styleId="En-tte">
    <w:name w:val="header"/>
    <w:basedOn w:val="Normal"/>
    <w:link w:val="En-tteCar"/>
    <w:uiPriority w:val="99"/>
    <w:unhideWhenUsed/>
    <w:rsid w:val="00CF196B"/>
    <w:pPr>
      <w:tabs>
        <w:tab w:val="center" w:pos="4536"/>
        <w:tab w:val="right" w:pos="9072"/>
      </w:tabs>
      <w:spacing w:after="0" w:line="240" w:lineRule="auto"/>
    </w:pPr>
  </w:style>
  <w:style w:type="character" w:customStyle="1" w:styleId="En-tteCar">
    <w:name w:val="En-tête Car"/>
    <w:basedOn w:val="Policepardfaut"/>
    <w:link w:val="En-tte"/>
    <w:uiPriority w:val="99"/>
    <w:rsid w:val="00CF196B"/>
    <w:rPr>
      <w:rFonts w:ascii="Times New Roman" w:eastAsia="Times New Roman" w:hAnsi="Times New Roman" w:cs="Times New Roman"/>
      <w:color w:val="000000"/>
      <w:sz w:val="28"/>
      <w:lang w:eastAsia="fr-FR"/>
    </w:rPr>
  </w:style>
  <w:style w:type="paragraph" w:styleId="Pieddepage">
    <w:name w:val="footer"/>
    <w:basedOn w:val="Normal"/>
    <w:link w:val="PieddepageCar"/>
    <w:uiPriority w:val="99"/>
    <w:unhideWhenUsed/>
    <w:rsid w:val="00CF196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F196B"/>
    <w:rPr>
      <w:rFonts w:ascii="Times New Roman" w:eastAsia="Times New Roman" w:hAnsi="Times New Roman" w:cs="Times New Roman"/>
      <w:color w:val="000000"/>
      <w:sz w:val="28"/>
      <w:lang w:eastAsia="fr-FR"/>
    </w:rPr>
  </w:style>
  <w:style w:type="paragraph" w:styleId="Textedebulles">
    <w:name w:val="Balloon Text"/>
    <w:basedOn w:val="Normal"/>
    <w:link w:val="TextedebullesCar"/>
    <w:uiPriority w:val="99"/>
    <w:semiHidden/>
    <w:unhideWhenUsed/>
    <w:rsid w:val="0002642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26427"/>
    <w:rPr>
      <w:rFonts w:ascii="Segoe UI" w:eastAsia="Times New Roman" w:hAnsi="Segoe UI" w:cs="Segoe UI"/>
      <w:color w:val="000000"/>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493838">
      <w:bodyDiv w:val="1"/>
      <w:marLeft w:val="0"/>
      <w:marRight w:val="0"/>
      <w:marTop w:val="0"/>
      <w:marBottom w:val="0"/>
      <w:divBdr>
        <w:top w:val="none" w:sz="0" w:space="0" w:color="auto"/>
        <w:left w:val="none" w:sz="0" w:space="0" w:color="auto"/>
        <w:bottom w:val="none" w:sz="0" w:space="0" w:color="auto"/>
        <w:right w:val="none" w:sz="0" w:space="0" w:color="auto"/>
      </w:divBdr>
      <w:divsChild>
        <w:div w:id="1959793395">
          <w:marLeft w:val="480"/>
          <w:marRight w:val="0"/>
          <w:marTop w:val="72"/>
          <w:marBottom w:val="168"/>
          <w:divBdr>
            <w:top w:val="single" w:sz="6" w:space="2" w:color="E7E7E7"/>
            <w:left w:val="single" w:sz="2" w:space="0" w:color="E7E7E7"/>
            <w:bottom w:val="single" w:sz="6" w:space="4" w:color="E7E7E7"/>
            <w:right w:val="single" w:sz="2" w:space="6" w:color="E7E7E7"/>
          </w:divBdr>
          <w:divsChild>
            <w:div w:id="991061175">
              <w:marLeft w:val="0"/>
              <w:marRight w:val="0"/>
              <w:marTop w:val="0"/>
              <w:marBottom w:val="0"/>
              <w:divBdr>
                <w:top w:val="none" w:sz="0" w:space="0" w:color="auto"/>
                <w:left w:val="none" w:sz="0" w:space="0" w:color="auto"/>
                <w:bottom w:val="none" w:sz="0" w:space="0" w:color="auto"/>
                <w:right w:val="none" w:sz="0" w:space="0" w:color="auto"/>
              </w:divBdr>
            </w:div>
          </w:divsChild>
        </w:div>
        <w:div w:id="788091454">
          <w:marLeft w:val="0"/>
          <w:marRight w:val="0"/>
          <w:marTop w:val="72"/>
          <w:marBottom w:val="0"/>
          <w:divBdr>
            <w:top w:val="none" w:sz="0" w:space="0" w:color="auto"/>
            <w:left w:val="none" w:sz="0" w:space="0" w:color="auto"/>
            <w:bottom w:val="none" w:sz="0" w:space="0" w:color="auto"/>
            <w:right w:val="none" w:sz="0" w:space="0" w:color="auto"/>
          </w:divBdr>
          <w:divsChild>
            <w:div w:id="1920669582">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15812858">
      <w:bodyDiv w:val="1"/>
      <w:marLeft w:val="0"/>
      <w:marRight w:val="0"/>
      <w:marTop w:val="0"/>
      <w:marBottom w:val="0"/>
      <w:divBdr>
        <w:top w:val="none" w:sz="0" w:space="0" w:color="auto"/>
        <w:left w:val="none" w:sz="0" w:space="0" w:color="auto"/>
        <w:bottom w:val="none" w:sz="0" w:space="0" w:color="auto"/>
        <w:right w:val="none" w:sz="0" w:space="0" w:color="auto"/>
      </w:divBdr>
      <w:divsChild>
        <w:div w:id="1023557150">
          <w:marLeft w:val="480"/>
          <w:marRight w:val="0"/>
          <w:marTop w:val="72"/>
          <w:marBottom w:val="168"/>
          <w:divBdr>
            <w:top w:val="single" w:sz="6" w:space="2" w:color="E7E7E7"/>
            <w:left w:val="single" w:sz="2" w:space="0" w:color="E7E7E7"/>
            <w:bottom w:val="single" w:sz="6" w:space="4" w:color="E7E7E7"/>
            <w:right w:val="single" w:sz="2" w:space="6" w:color="E7E7E7"/>
          </w:divBdr>
          <w:divsChild>
            <w:div w:id="1691951795">
              <w:marLeft w:val="0"/>
              <w:marRight w:val="0"/>
              <w:marTop w:val="0"/>
              <w:marBottom w:val="0"/>
              <w:divBdr>
                <w:top w:val="none" w:sz="0" w:space="0" w:color="auto"/>
                <w:left w:val="none" w:sz="0" w:space="0" w:color="auto"/>
                <w:bottom w:val="none" w:sz="0" w:space="0" w:color="auto"/>
                <w:right w:val="none" w:sz="0" w:space="0" w:color="auto"/>
              </w:divBdr>
            </w:div>
          </w:divsChild>
        </w:div>
        <w:div w:id="1425493279">
          <w:marLeft w:val="0"/>
          <w:marRight w:val="0"/>
          <w:marTop w:val="72"/>
          <w:marBottom w:val="0"/>
          <w:divBdr>
            <w:top w:val="none" w:sz="0" w:space="0" w:color="auto"/>
            <w:left w:val="none" w:sz="0" w:space="0" w:color="auto"/>
            <w:bottom w:val="none" w:sz="0" w:space="0" w:color="auto"/>
            <w:right w:val="none" w:sz="0" w:space="0" w:color="auto"/>
          </w:divBdr>
          <w:divsChild>
            <w:div w:id="1399788451">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1951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Histoire_de_l%27%C3%A9ducation" TargetMode="External"/><Relationship Id="rId13" Type="http://schemas.openxmlformats.org/officeDocument/2006/relationships/hyperlink" Target="https://fr.wikipedia.org/wiki/Henri_Mario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r.wikipedia.org/wiki/%C3%89ducation" TargetMode="External"/><Relationship Id="rId12" Type="http://schemas.openxmlformats.org/officeDocument/2006/relationships/hyperlink" Target="https://fr.wikipedia.org/wiki/Jules_Ferr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r.wikipedia.org/wiki/Discipline_(sp%C3%A9cialit%C3%A9)" TargetMode="External"/><Relationship Id="rId5" Type="http://schemas.openxmlformats.org/officeDocument/2006/relationships/footnotes" Target="footnotes.xml"/><Relationship Id="rId15" Type="http://schemas.openxmlformats.org/officeDocument/2006/relationships/hyperlink" Target="https://fr.wikipedia.org/wiki/Sciences_de_l%27%C3%A9ducation" TargetMode="External"/><Relationship Id="rId10" Type="http://schemas.openxmlformats.org/officeDocument/2006/relationships/hyperlink" Target="https://fr.wikipedia.org/wiki/Didactique" TargetMode="External"/><Relationship Id="rId4" Type="http://schemas.openxmlformats.org/officeDocument/2006/relationships/webSettings" Target="webSettings.xml"/><Relationship Id="rId9" Type="http://schemas.openxmlformats.org/officeDocument/2006/relationships/hyperlink" Target="https://fr.wikipedia.org/wiki/Sociologie_de_l%27%C3%A9ducation" TargetMode="External"/><Relationship Id="rId14" Type="http://schemas.openxmlformats.org/officeDocument/2006/relationships/hyperlink" Target="https://fr.wikipedia.org/wiki/Ferdinand_Buisso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10</Pages>
  <Words>3347</Words>
  <Characters>18409</Characters>
  <Application>Microsoft Office Word</Application>
  <DocSecurity>0</DocSecurity>
  <Lines>153</Lines>
  <Paragraphs>43</Paragraphs>
  <ScaleCrop>false</ScaleCrop>
  <Company/>
  <LinksUpToDate>false</LinksUpToDate>
  <CharactersWithSpaces>21713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161</cp:revision>
  <cp:lastPrinted>2023-03-12T16:59:00Z</cp:lastPrinted>
  <dcterms:created xsi:type="dcterms:W3CDTF">2023-02-26T16:12:00Z</dcterms:created>
  <dcterms:modified xsi:type="dcterms:W3CDTF">2024-02-10T11:57:00Z</dcterms:modified>
</cp:coreProperties>
</file>